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6869"/>
        <w:gridCol w:w="1767"/>
      </w:tblGrid>
      <w:tr w:rsidR="00AC1E4F" w14:paraId="52D0DC14" w14:textId="77777777" w:rsidTr="00B742E9">
        <w:trPr>
          <w:trHeight w:val="499"/>
        </w:trPr>
        <w:tc>
          <w:tcPr>
            <w:tcW w:w="7584" w:type="dxa"/>
            <w:gridSpan w:val="2"/>
            <w:tcBorders>
              <w:bottom w:val="nil"/>
            </w:tcBorders>
          </w:tcPr>
          <w:p w14:paraId="0550F970" w14:textId="77777777" w:rsidR="00AC1E4F" w:rsidRDefault="00AC1E4F" w:rsidP="00B742E9">
            <w:pPr>
              <w:pStyle w:val="TableParagraph"/>
              <w:ind w:left="28" w:right="1609"/>
              <w:rPr>
                <w:sz w:val="20"/>
              </w:rPr>
            </w:pPr>
            <w:r>
              <w:rPr>
                <w:sz w:val="20"/>
              </w:rPr>
              <w:t>IN THE CIRCUIT COURT OF THE ELEVENTH JUDICIAL CIRCUIT, IN AND FOR MIAMI-DADE COUNTY, FLORIDA</w:t>
            </w:r>
          </w:p>
        </w:tc>
        <w:tc>
          <w:tcPr>
            <w:tcW w:w="1767" w:type="dxa"/>
            <w:vMerge w:val="restart"/>
          </w:tcPr>
          <w:p w14:paraId="0E7DE81A" w14:textId="77777777" w:rsidR="00AC1E4F" w:rsidRDefault="00AC1E4F" w:rsidP="00B742E9">
            <w:pPr>
              <w:pStyle w:val="TableParagraph"/>
              <w:spacing w:before="1"/>
              <w:rPr>
                <w:sz w:val="69"/>
              </w:rPr>
            </w:pPr>
          </w:p>
          <w:p w14:paraId="0F3DD995" w14:textId="77777777" w:rsidR="00AC1E4F" w:rsidRDefault="00AC1E4F" w:rsidP="00B742E9">
            <w:pPr>
              <w:pStyle w:val="TableParagraph"/>
              <w:ind w:left="376"/>
              <w:rPr>
                <w:b/>
                <w:sz w:val="48"/>
              </w:rPr>
            </w:pPr>
            <w:r>
              <w:rPr>
                <w:b/>
                <w:sz w:val="48"/>
              </w:rPr>
              <w:t>G-13</w:t>
            </w:r>
          </w:p>
        </w:tc>
      </w:tr>
      <w:tr w:rsidR="00AC1E4F" w14:paraId="21457136" w14:textId="77777777" w:rsidTr="00B742E9">
        <w:trPr>
          <w:trHeight w:val="315"/>
        </w:trPr>
        <w:tc>
          <w:tcPr>
            <w:tcW w:w="7584" w:type="dxa"/>
            <w:gridSpan w:val="2"/>
            <w:tcBorders>
              <w:top w:val="nil"/>
              <w:bottom w:val="nil"/>
            </w:tcBorders>
          </w:tcPr>
          <w:p w14:paraId="3197D8E3" w14:textId="77777777" w:rsidR="00AC1E4F" w:rsidRDefault="00AC1E4F" w:rsidP="00B742E9">
            <w:pPr>
              <w:pStyle w:val="TableParagraph"/>
              <w:spacing w:before="30"/>
              <w:ind w:left="28"/>
              <w:rPr>
                <w:sz w:val="20"/>
              </w:rPr>
            </w:pPr>
            <w:r>
              <w:rPr>
                <w:sz w:val="20"/>
              </w:rPr>
              <w:t>PROBATE DIVISION</w:t>
            </w:r>
          </w:p>
        </w:tc>
        <w:tc>
          <w:tcPr>
            <w:tcW w:w="1767" w:type="dxa"/>
            <w:vMerge/>
            <w:tcBorders>
              <w:top w:val="nil"/>
            </w:tcBorders>
          </w:tcPr>
          <w:p w14:paraId="29684C57" w14:textId="77777777" w:rsidR="00AC1E4F" w:rsidRDefault="00AC1E4F" w:rsidP="00B742E9">
            <w:pPr>
              <w:rPr>
                <w:sz w:val="2"/>
                <w:szCs w:val="2"/>
              </w:rPr>
            </w:pPr>
          </w:p>
        </w:tc>
      </w:tr>
      <w:tr w:rsidR="00AC1E4F" w14:paraId="2C386E4C" w14:textId="77777777" w:rsidTr="00B742E9">
        <w:trPr>
          <w:trHeight w:val="324"/>
        </w:trPr>
        <w:tc>
          <w:tcPr>
            <w:tcW w:w="715" w:type="dxa"/>
            <w:tcBorders>
              <w:top w:val="nil"/>
              <w:bottom w:val="nil"/>
              <w:right w:val="nil"/>
            </w:tcBorders>
          </w:tcPr>
          <w:p w14:paraId="0014E2A9" w14:textId="77777777" w:rsidR="00AC1E4F" w:rsidRDefault="00AC1E4F" w:rsidP="00B742E9">
            <w:pPr>
              <w:pStyle w:val="TableParagraph"/>
              <w:spacing w:before="46"/>
              <w:ind w:left="28"/>
              <w:rPr>
                <w:sz w:val="20"/>
              </w:rPr>
            </w:pPr>
            <w:r>
              <w:rPr>
                <w:sz w:val="20"/>
              </w:rPr>
              <w:t>IN RE:</w:t>
            </w:r>
          </w:p>
        </w:tc>
        <w:tc>
          <w:tcPr>
            <w:tcW w:w="6869" w:type="dxa"/>
            <w:tcBorders>
              <w:top w:val="nil"/>
              <w:left w:val="nil"/>
              <w:bottom w:val="nil"/>
            </w:tcBorders>
          </w:tcPr>
          <w:p w14:paraId="3C483028" w14:textId="77777777" w:rsidR="00AC1E4F" w:rsidRDefault="00AC1E4F" w:rsidP="00B742E9">
            <w:pPr>
              <w:pStyle w:val="TableParagraph"/>
              <w:tabs>
                <w:tab w:val="left" w:pos="2150"/>
                <w:tab w:val="left" w:pos="6736"/>
              </w:tabs>
              <w:spacing w:before="46"/>
              <w:ind w:left="120"/>
              <w:rPr>
                <w:sz w:val="20"/>
              </w:rPr>
            </w:pPr>
            <w:r>
              <w:rPr>
                <w:sz w:val="20"/>
              </w:rPr>
              <w:t>GUARDIANSHIP</w:t>
            </w:r>
            <w:r>
              <w:rPr>
                <w:spacing w:val="-8"/>
                <w:sz w:val="20"/>
              </w:rPr>
              <w:t xml:space="preserve"> </w:t>
            </w:r>
            <w:r>
              <w:rPr>
                <w:sz w:val="20"/>
              </w:rPr>
              <w:t>OF</w:t>
            </w:r>
            <w:r>
              <w:rPr>
                <w:sz w:val="20"/>
              </w:rPr>
              <w:tab/>
            </w:r>
            <w:r>
              <w:rPr>
                <w:w w:val="99"/>
                <w:sz w:val="20"/>
                <w:u w:val="single"/>
              </w:rPr>
              <w:t xml:space="preserve"> </w:t>
            </w:r>
            <w:r>
              <w:rPr>
                <w:sz w:val="20"/>
                <w:u w:val="single"/>
              </w:rPr>
              <w:tab/>
            </w:r>
          </w:p>
        </w:tc>
        <w:tc>
          <w:tcPr>
            <w:tcW w:w="1767" w:type="dxa"/>
            <w:vMerge/>
            <w:tcBorders>
              <w:top w:val="nil"/>
            </w:tcBorders>
          </w:tcPr>
          <w:p w14:paraId="386C424E" w14:textId="77777777" w:rsidR="00AC1E4F" w:rsidRDefault="00AC1E4F" w:rsidP="00B742E9">
            <w:pPr>
              <w:rPr>
                <w:sz w:val="2"/>
                <w:szCs w:val="2"/>
              </w:rPr>
            </w:pPr>
          </w:p>
        </w:tc>
      </w:tr>
      <w:tr w:rsidR="00AC1E4F" w14:paraId="24967D46" w14:textId="77777777" w:rsidTr="00B742E9">
        <w:trPr>
          <w:trHeight w:val="249"/>
        </w:trPr>
        <w:tc>
          <w:tcPr>
            <w:tcW w:w="7584" w:type="dxa"/>
            <w:gridSpan w:val="2"/>
            <w:tcBorders>
              <w:top w:val="nil"/>
              <w:bottom w:val="nil"/>
            </w:tcBorders>
          </w:tcPr>
          <w:p w14:paraId="0BEC29C9" w14:textId="77777777" w:rsidR="00AC1E4F" w:rsidRDefault="00AC1E4F" w:rsidP="00B742E9">
            <w:pPr>
              <w:pStyle w:val="TableParagraph"/>
              <w:spacing w:before="40" w:line="189" w:lineRule="exact"/>
              <w:ind w:left="431"/>
              <w:rPr>
                <w:sz w:val="20"/>
              </w:rPr>
            </w:pPr>
            <w:r>
              <w:rPr>
                <w:sz w:val="20"/>
              </w:rPr>
              <w:t>Ward.</w:t>
            </w:r>
          </w:p>
        </w:tc>
        <w:tc>
          <w:tcPr>
            <w:tcW w:w="1767" w:type="dxa"/>
            <w:vMerge/>
            <w:tcBorders>
              <w:top w:val="nil"/>
            </w:tcBorders>
          </w:tcPr>
          <w:p w14:paraId="7E0BC521" w14:textId="77777777" w:rsidR="00AC1E4F" w:rsidRDefault="00AC1E4F" w:rsidP="00B742E9">
            <w:pPr>
              <w:rPr>
                <w:sz w:val="2"/>
                <w:szCs w:val="2"/>
              </w:rPr>
            </w:pPr>
          </w:p>
        </w:tc>
      </w:tr>
      <w:tr w:rsidR="00AC1E4F" w14:paraId="18FBAAA1" w14:textId="77777777" w:rsidTr="00B742E9">
        <w:trPr>
          <w:trHeight w:val="296"/>
        </w:trPr>
        <w:tc>
          <w:tcPr>
            <w:tcW w:w="715" w:type="dxa"/>
            <w:tcBorders>
              <w:top w:val="nil"/>
              <w:bottom w:val="nil"/>
              <w:right w:val="nil"/>
            </w:tcBorders>
          </w:tcPr>
          <w:p w14:paraId="3C50AAB1" w14:textId="77777777" w:rsidR="00AC1E4F" w:rsidRDefault="00AC1E4F" w:rsidP="00B742E9">
            <w:pPr>
              <w:pStyle w:val="TableParagraph"/>
            </w:pPr>
          </w:p>
        </w:tc>
        <w:tc>
          <w:tcPr>
            <w:tcW w:w="6869" w:type="dxa"/>
            <w:tcBorders>
              <w:top w:val="nil"/>
              <w:left w:val="nil"/>
            </w:tcBorders>
          </w:tcPr>
          <w:p w14:paraId="7DB10DFB" w14:textId="77777777" w:rsidR="00AC1E4F" w:rsidRDefault="00AC1E4F" w:rsidP="00B742E9">
            <w:pPr>
              <w:pStyle w:val="TableParagraph"/>
              <w:spacing w:line="200" w:lineRule="exact"/>
              <w:ind w:left="3433" w:right="2646"/>
              <w:jc w:val="center"/>
              <w:rPr>
                <w:sz w:val="20"/>
              </w:rPr>
            </w:pPr>
            <w:r>
              <w:rPr>
                <w:sz w:val="20"/>
              </w:rPr>
              <w:t>Case no.:</w:t>
            </w:r>
          </w:p>
        </w:tc>
        <w:tc>
          <w:tcPr>
            <w:tcW w:w="1767" w:type="dxa"/>
            <w:vMerge/>
            <w:tcBorders>
              <w:top w:val="nil"/>
            </w:tcBorders>
          </w:tcPr>
          <w:p w14:paraId="0C72538B" w14:textId="77777777" w:rsidR="00AC1E4F" w:rsidRDefault="00AC1E4F" w:rsidP="00B742E9">
            <w:pPr>
              <w:rPr>
                <w:sz w:val="2"/>
                <w:szCs w:val="2"/>
              </w:rPr>
            </w:pPr>
          </w:p>
        </w:tc>
      </w:tr>
      <w:tr w:rsidR="00AC1E4F" w14:paraId="11EEA4F4" w14:textId="77777777" w:rsidTr="00B742E9">
        <w:trPr>
          <w:trHeight w:val="620"/>
        </w:trPr>
        <w:tc>
          <w:tcPr>
            <w:tcW w:w="715" w:type="dxa"/>
            <w:tcBorders>
              <w:top w:val="nil"/>
              <w:right w:val="nil"/>
            </w:tcBorders>
          </w:tcPr>
          <w:p w14:paraId="09CD9FA2" w14:textId="77777777" w:rsidR="00AC1E4F" w:rsidRDefault="00AC1E4F" w:rsidP="00B742E9">
            <w:pPr>
              <w:pStyle w:val="TableParagraph"/>
            </w:pPr>
          </w:p>
        </w:tc>
        <w:tc>
          <w:tcPr>
            <w:tcW w:w="6869" w:type="dxa"/>
            <w:tcBorders>
              <w:left w:val="nil"/>
            </w:tcBorders>
          </w:tcPr>
          <w:p w14:paraId="3071C5B8" w14:textId="77777777" w:rsidR="00AC1E4F" w:rsidRDefault="00AC1E4F" w:rsidP="00B742E9">
            <w:pPr>
              <w:pStyle w:val="TableParagraph"/>
              <w:rPr>
                <w:sz w:val="21"/>
              </w:rPr>
            </w:pPr>
          </w:p>
          <w:p w14:paraId="17BB02B5" w14:textId="77777777" w:rsidR="00AC1E4F" w:rsidRDefault="00AC1E4F" w:rsidP="00B742E9">
            <w:pPr>
              <w:pStyle w:val="TableParagraph"/>
              <w:ind w:left="3433" w:right="2557"/>
              <w:jc w:val="center"/>
              <w:rPr>
                <w:sz w:val="20"/>
              </w:rPr>
            </w:pPr>
            <w:r>
              <w:rPr>
                <w:sz w:val="20"/>
              </w:rPr>
              <w:t>Section:</w:t>
            </w:r>
          </w:p>
        </w:tc>
        <w:tc>
          <w:tcPr>
            <w:tcW w:w="1767" w:type="dxa"/>
            <w:vMerge/>
            <w:tcBorders>
              <w:top w:val="nil"/>
            </w:tcBorders>
          </w:tcPr>
          <w:p w14:paraId="7C638B94" w14:textId="77777777" w:rsidR="00AC1E4F" w:rsidRDefault="00AC1E4F" w:rsidP="00B742E9">
            <w:pPr>
              <w:rPr>
                <w:sz w:val="2"/>
                <w:szCs w:val="2"/>
              </w:rPr>
            </w:pPr>
          </w:p>
        </w:tc>
      </w:tr>
    </w:tbl>
    <w:p w14:paraId="0B3AE59B" w14:textId="77777777" w:rsidR="00AC1E4F" w:rsidRDefault="00AC1E4F" w:rsidP="00AC1E4F">
      <w:pPr>
        <w:pStyle w:val="BodyText"/>
        <w:rPr>
          <w:sz w:val="20"/>
        </w:rPr>
      </w:pPr>
    </w:p>
    <w:p w14:paraId="6D87314A" w14:textId="77777777" w:rsidR="00AC1E4F" w:rsidRDefault="00AC1E4F" w:rsidP="00AC1E4F">
      <w:pPr>
        <w:pStyle w:val="BodyText"/>
        <w:spacing w:before="9"/>
        <w:rPr>
          <w:sz w:val="15"/>
        </w:rPr>
      </w:pPr>
    </w:p>
    <w:p w14:paraId="767AD6BF" w14:textId="08085E5E" w:rsidR="00AC1E4F" w:rsidRDefault="001D74B7" w:rsidP="00AC1E4F">
      <w:pPr>
        <w:spacing w:before="91" w:line="264" w:lineRule="exact"/>
        <w:ind w:left="800" w:right="773"/>
        <w:jc w:val="center"/>
        <w:rPr>
          <w:b/>
          <w:sz w:val="23"/>
        </w:rPr>
      </w:pPr>
      <w:r>
        <w:rPr>
          <w:noProof/>
        </w:rPr>
        <mc:AlternateContent>
          <mc:Choice Requires="wps">
            <w:drawing>
              <wp:anchor distT="0" distB="0" distL="114300" distR="114300" simplePos="0" relativeHeight="251659776" behindDoc="1" locked="0" layoutInCell="1" allowOverlap="1" wp14:anchorId="69192944" wp14:editId="217B08AB">
                <wp:simplePos x="0" y="0"/>
                <wp:positionH relativeFrom="page">
                  <wp:posOffset>4096385</wp:posOffset>
                </wp:positionH>
                <wp:positionV relativeFrom="paragraph">
                  <wp:posOffset>-343535</wp:posOffset>
                </wp:positionV>
                <wp:extent cx="153606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0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F084A"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2.55pt,-27.05pt" to="443.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" strokeweight=".5pt">
                <w10:wrap anchorx="page"/>
              </v:line>
            </w:pict>
          </mc:Fallback>
        </mc:AlternateContent>
      </w:r>
      <w:r w:rsidR="00AC1E4F">
        <w:rPr>
          <w:b/>
          <w:sz w:val="23"/>
          <w:u w:val="thick"/>
        </w:rPr>
        <w:t>ORDER APPOINTING LIMITED GUARDIAN OF PERSON AND PROPERTY</w:t>
      </w:r>
    </w:p>
    <w:p w14:paraId="618D48C2" w14:textId="77777777" w:rsidR="00AC1E4F" w:rsidRDefault="00AC1E4F" w:rsidP="00AC1E4F">
      <w:pPr>
        <w:pStyle w:val="BodyText"/>
        <w:spacing w:line="264" w:lineRule="exact"/>
        <w:ind w:left="800" w:right="767"/>
        <w:jc w:val="center"/>
      </w:pPr>
      <w:r>
        <w:t>(Incapacitated person - No Known Advance Directive)</w:t>
      </w:r>
    </w:p>
    <w:p w14:paraId="73D79B49" w14:textId="77777777" w:rsidR="00E759DD" w:rsidRDefault="00E759DD">
      <w:pPr>
        <w:pStyle w:val="BodyText"/>
        <w:spacing w:before="10"/>
        <w:rPr>
          <w:b/>
          <w:sz w:val="20"/>
        </w:rPr>
      </w:pPr>
    </w:p>
    <w:p w14:paraId="73D79B4A" w14:textId="201FE75A" w:rsidR="00E759DD" w:rsidRDefault="00863E4E" w:rsidP="00863E4E">
      <w:pPr>
        <w:pStyle w:val="BodyText"/>
        <w:tabs>
          <w:tab w:val="left" w:pos="2819"/>
          <w:tab w:val="left" w:pos="5960"/>
        </w:tabs>
        <w:ind w:left="100" w:right="240"/>
        <w:jc w:val="both"/>
      </w:pPr>
      <w:r>
        <w:t xml:space="preserve">          </w:t>
      </w:r>
      <w:r w:rsidR="001D74B7">
        <w:t xml:space="preserve">On the petition </w:t>
      </w:r>
      <w:r w:rsidR="00E1265F">
        <w:t xml:space="preserve">of </w:t>
      </w:r>
      <w:r w:rsidR="00E1265F" w:rsidRPr="00EA7BF7">
        <w:rPr>
          <w:b/>
          <w:bCs/>
          <w:u w:val="single"/>
        </w:rPr>
        <w:t>[GUARDIAN FULL NAME]</w:t>
      </w:r>
      <w:r w:rsidR="00E1265F" w:rsidRPr="00E1265F">
        <w:t xml:space="preserve"> </w:t>
      </w:r>
      <w:r w:rsidR="001D74B7">
        <w:t xml:space="preserve">for the appointment of a Guardian </w:t>
      </w:r>
      <w:r w:rsidR="001D74B7">
        <w:rPr>
          <w:spacing w:val="-7"/>
        </w:rPr>
        <w:t xml:space="preserve">of </w:t>
      </w:r>
      <w:r w:rsidR="001D74B7">
        <w:t>the Person and Property (“Guardian”) of the above-named ward, the Court makes the following findings:</w:t>
      </w:r>
    </w:p>
    <w:p w14:paraId="73D79B4B" w14:textId="77777777" w:rsidR="00E759DD" w:rsidRDefault="00E759DD">
      <w:pPr>
        <w:pStyle w:val="BodyText"/>
        <w:spacing w:before="10"/>
        <w:rPr>
          <w:sz w:val="20"/>
        </w:rPr>
      </w:pPr>
    </w:p>
    <w:p w14:paraId="73D79B4C" w14:textId="7360061C" w:rsidR="00E759DD" w:rsidRDefault="001D74B7" w:rsidP="00863E4E">
      <w:pPr>
        <w:pStyle w:val="ListParagraph"/>
        <w:numPr>
          <w:ilvl w:val="0"/>
          <w:numId w:val="1"/>
        </w:numPr>
        <w:tabs>
          <w:tab w:val="left" w:pos="700"/>
          <w:tab w:val="left" w:pos="4125"/>
          <w:tab w:val="left" w:pos="6059"/>
        </w:tabs>
        <w:spacing w:before="0"/>
        <w:ind w:right="247"/>
        <w:jc w:val="both"/>
        <w:rPr>
          <w:sz w:val="24"/>
        </w:rPr>
      </w:pPr>
      <w:r>
        <w:rPr>
          <w:sz w:val="24"/>
        </w:rPr>
        <w:t xml:space="preserve">By order of this court </w:t>
      </w:r>
      <w:r w:rsidR="00E1265F">
        <w:rPr>
          <w:sz w:val="24"/>
        </w:rPr>
        <w:t xml:space="preserve">dated </w:t>
      </w:r>
      <w:r w:rsidR="00E1265F" w:rsidRPr="00EA7BF7">
        <w:rPr>
          <w:b/>
          <w:bCs/>
          <w:sz w:val="24"/>
          <w:u w:val="single"/>
        </w:rPr>
        <w:t>[DATE]</w:t>
      </w:r>
      <w:r>
        <w:rPr>
          <w:sz w:val="24"/>
        </w:rPr>
        <w:t xml:space="preserve"> the above-named respondent was adjudicated incapacitated and is now a ward as defined in section 744.102(22), Florida Statutes (“F.S.”). The extent of the incapacity is limited as to the person and property.</w:t>
      </w:r>
      <w:r>
        <w:rPr>
          <w:sz w:val="24"/>
        </w:rPr>
        <w:t xml:space="preserve"> </w:t>
      </w:r>
      <w:r>
        <w:rPr>
          <w:spacing w:val="-6"/>
          <w:sz w:val="24"/>
        </w:rPr>
        <w:t xml:space="preserve">The </w:t>
      </w:r>
      <w:r>
        <w:rPr>
          <w:sz w:val="24"/>
        </w:rPr>
        <w:t>Ward retains the rights listed in section 744.3215(1), F.S. The following rights were removed from the Ward:</w:t>
      </w:r>
    </w:p>
    <w:p w14:paraId="73D79B4D" w14:textId="77777777" w:rsidR="00E759DD" w:rsidRDefault="00E759DD">
      <w:pPr>
        <w:pStyle w:val="BodyText"/>
        <w:spacing w:before="6"/>
        <w:rPr>
          <w:sz w:val="22"/>
        </w:rPr>
      </w:pPr>
    </w:p>
    <w:tbl>
      <w:tblPr>
        <w:tblW w:w="936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
        <w:gridCol w:w="4140"/>
        <w:gridCol w:w="598"/>
        <w:gridCol w:w="4009"/>
      </w:tblGrid>
      <w:tr w:rsidR="00E759DD" w:rsidRPr="009F2259" w14:paraId="73D79B55" w14:textId="77777777" w:rsidTr="00846F43">
        <w:trPr>
          <w:trHeight w:val="563"/>
        </w:trPr>
        <w:tc>
          <w:tcPr>
            <w:tcW w:w="613" w:type="dxa"/>
            <w:vAlign w:val="center"/>
          </w:tcPr>
          <w:p w14:paraId="73D79B4E" w14:textId="77777777" w:rsidR="00E759DD" w:rsidRPr="009F2259" w:rsidRDefault="00E759DD" w:rsidP="009F2259">
            <w:pPr>
              <w:pStyle w:val="TableParagraph"/>
              <w:spacing w:before="8"/>
              <w:jc w:val="center"/>
              <w:rPr>
                <w:b/>
                <w:bCs/>
                <w:sz w:val="25"/>
              </w:rPr>
            </w:pPr>
          </w:p>
          <w:p w14:paraId="73D79B4F" w14:textId="44955843" w:rsidR="00E759DD" w:rsidRPr="009F2259" w:rsidRDefault="00E759DD" w:rsidP="009F2259">
            <w:pPr>
              <w:pStyle w:val="TableParagraph"/>
              <w:ind w:left="82"/>
              <w:jc w:val="center"/>
              <w:rPr>
                <w:b/>
                <w:bCs/>
                <w:sz w:val="24"/>
              </w:rPr>
            </w:pPr>
          </w:p>
        </w:tc>
        <w:tc>
          <w:tcPr>
            <w:tcW w:w="4140" w:type="dxa"/>
            <w:vAlign w:val="center"/>
          </w:tcPr>
          <w:p w14:paraId="73D79B51" w14:textId="01F1BF26"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contract;</w:t>
            </w:r>
          </w:p>
        </w:tc>
        <w:tc>
          <w:tcPr>
            <w:tcW w:w="598" w:type="dxa"/>
            <w:vAlign w:val="center"/>
          </w:tcPr>
          <w:p w14:paraId="73D79B52" w14:textId="77777777" w:rsidR="00E759DD" w:rsidRPr="009F2259" w:rsidRDefault="00E759DD" w:rsidP="009F2259">
            <w:pPr>
              <w:pStyle w:val="TableParagraph"/>
              <w:jc w:val="center"/>
              <w:rPr>
                <w:b/>
                <w:bCs/>
              </w:rPr>
            </w:pPr>
          </w:p>
        </w:tc>
        <w:tc>
          <w:tcPr>
            <w:tcW w:w="4009" w:type="dxa"/>
            <w:vAlign w:val="center"/>
          </w:tcPr>
          <w:p w14:paraId="73D79B54" w14:textId="0E3A0BB3"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marry;</w:t>
            </w:r>
          </w:p>
        </w:tc>
      </w:tr>
      <w:tr w:rsidR="00E759DD" w:rsidRPr="009F2259" w14:paraId="73D79B5C" w14:textId="77777777" w:rsidTr="00846F43">
        <w:trPr>
          <w:trHeight w:val="518"/>
        </w:trPr>
        <w:tc>
          <w:tcPr>
            <w:tcW w:w="613" w:type="dxa"/>
            <w:vAlign w:val="center"/>
          </w:tcPr>
          <w:p w14:paraId="73D79B56" w14:textId="77777777" w:rsidR="00E759DD" w:rsidRPr="009F2259" w:rsidRDefault="00E759DD" w:rsidP="009F2259">
            <w:pPr>
              <w:pStyle w:val="TableParagraph"/>
              <w:jc w:val="center"/>
              <w:rPr>
                <w:b/>
                <w:bCs/>
              </w:rPr>
            </w:pPr>
          </w:p>
        </w:tc>
        <w:tc>
          <w:tcPr>
            <w:tcW w:w="4140" w:type="dxa"/>
            <w:vAlign w:val="center"/>
          </w:tcPr>
          <w:p w14:paraId="73D79B58" w14:textId="14D9C89C"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sue;</w:t>
            </w:r>
          </w:p>
        </w:tc>
        <w:tc>
          <w:tcPr>
            <w:tcW w:w="598" w:type="dxa"/>
            <w:vAlign w:val="center"/>
          </w:tcPr>
          <w:p w14:paraId="73D79B59" w14:textId="77777777" w:rsidR="00E759DD" w:rsidRPr="009F2259" w:rsidRDefault="00E759DD" w:rsidP="009F2259">
            <w:pPr>
              <w:pStyle w:val="TableParagraph"/>
              <w:jc w:val="center"/>
              <w:rPr>
                <w:b/>
                <w:bCs/>
              </w:rPr>
            </w:pPr>
          </w:p>
        </w:tc>
        <w:tc>
          <w:tcPr>
            <w:tcW w:w="4009" w:type="dxa"/>
            <w:vAlign w:val="center"/>
          </w:tcPr>
          <w:p w14:paraId="73D79B5B" w14:textId="46927CE0"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vote;</w:t>
            </w:r>
          </w:p>
        </w:tc>
      </w:tr>
      <w:tr w:rsidR="00E759DD" w:rsidRPr="009F2259" w14:paraId="73D79B64" w14:textId="77777777" w:rsidTr="00846F43">
        <w:trPr>
          <w:trHeight w:val="473"/>
        </w:trPr>
        <w:tc>
          <w:tcPr>
            <w:tcW w:w="613" w:type="dxa"/>
            <w:vAlign w:val="center"/>
          </w:tcPr>
          <w:p w14:paraId="73D79B5D" w14:textId="77777777" w:rsidR="00E759DD" w:rsidRPr="009F2259" w:rsidRDefault="00E759DD" w:rsidP="009F2259">
            <w:pPr>
              <w:pStyle w:val="TableParagraph"/>
              <w:jc w:val="center"/>
              <w:rPr>
                <w:b/>
                <w:bCs/>
              </w:rPr>
            </w:pPr>
          </w:p>
        </w:tc>
        <w:tc>
          <w:tcPr>
            <w:tcW w:w="4140" w:type="dxa"/>
            <w:vAlign w:val="center"/>
          </w:tcPr>
          <w:p w14:paraId="73D79B5F" w14:textId="58ECF0AB"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apply for government benefits;</w:t>
            </w:r>
          </w:p>
        </w:tc>
        <w:tc>
          <w:tcPr>
            <w:tcW w:w="598" w:type="dxa"/>
            <w:vAlign w:val="center"/>
          </w:tcPr>
          <w:p w14:paraId="73D79B60" w14:textId="77777777" w:rsidR="00E759DD" w:rsidRPr="009F2259" w:rsidRDefault="00E759DD" w:rsidP="009F2259">
            <w:pPr>
              <w:pStyle w:val="TableParagraph"/>
              <w:spacing w:before="8"/>
              <w:jc w:val="center"/>
              <w:rPr>
                <w:b/>
                <w:bCs/>
                <w:sz w:val="25"/>
              </w:rPr>
            </w:pPr>
          </w:p>
          <w:p w14:paraId="73D79B61" w14:textId="3067E279" w:rsidR="00E759DD" w:rsidRPr="009F2259" w:rsidRDefault="00E759DD" w:rsidP="009F2259">
            <w:pPr>
              <w:pStyle w:val="TableParagraph"/>
              <w:ind w:left="82"/>
              <w:jc w:val="center"/>
              <w:rPr>
                <w:b/>
                <w:bCs/>
                <w:sz w:val="24"/>
              </w:rPr>
            </w:pPr>
          </w:p>
        </w:tc>
        <w:tc>
          <w:tcPr>
            <w:tcW w:w="4009" w:type="dxa"/>
            <w:vAlign w:val="center"/>
          </w:tcPr>
          <w:p w14:paraId="73D79B63" w14:textId="2DB652C8"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travel;</w:t>
            </w:r>
          </w:p>
        </w:tc>
      </w:tr>
      <w:tr w:rsidR="00E759DD" w:rsidRPr="009F2259" w14:paraId="73D79B6B" w14:textId="77777777" w:rsidTr="00846F43">
        <w:trPr>
          <w:trHeight w:val="428"/>
        </w:trPr>
        <w:tc>
          <w:tcPr>
            <w:tcW w:w="613" w:type="dxa"/>
            <w:vAlign w:val="center"/>
          </w:tcPr>
          <w:p w14:paraId="73D79B65" w14:textId="77777777" w:rsidR="00E759DD" w:rsidRPr="009F2259" w:rsidRDefault="00E759DD" w:rsidP="009F2259">
            <w:pPr>
              <w:pStyle w:val="TableParagraph"/>
              <w:jc w:val="center"/>
              <w:rPr>
                <w:b/>
                <w:bCs/>
              </w:rPr>
            </w:pPr>
          </w:p>
        </w:tc>
        <w:tc>
          <w:tcPr>
            <w:tcW w:w="4140" w:type="dxa"/>
            <w:vAlign w:val="center"/>
          </w:tcPr>
          <w:p w14:paraId="73D79B67" w14:textId="7229A1BA" w:rsidR="00E759DD" w:rsidRPr="009F2259" w:rsidRDefault="00601758" w:rsidP="00601758">
            <w:pPr>
              <w:pStyle w:val="TableParagraph"/>
              <w:ind w:right="183"/>
              <w:rPr>
                <w:b/>
                <w:bCs/>
                <w:sz w:val="24"/>
              </w:rPr>
            </w:pPr>
            <w:r w:rsidRPr="009F2259">
              <w:rPr>
                <w:b/>
                <w:bCs/>
                <w:sz w:val="24"/>
              </w:rPr>
              <w:t xml:space="preserve"> </w:t>
            </w:r>
            <w:r w:rsidR="001D74B7" w:rsidRPr="009F2259">
              <w:rPr>
                <w:b/>
                <w:bCs/>
                <w:sz w:val="24"/>
              </w:rPr>
              <w:t>to manage property or to make any</w:t>
            </w:r>
            <w:r w:rsidRPr="009F2259">
              <w:rPr>
                <w:b/>
                <w:bCs/>
                <w:sz w:val="24"/>
              </w:rPr>
              <w:t xml:space="preserve"> </w:t>
            </w:r>
            <w:r w:rsidR="001D74B7" w:rsidRPr="009F2259">
              <w:rPr>
                <w:b/>
                <w:bCs/>
                <w:sz w:val="24"/>
              </w:rPr>
              <w:t>gifts or disposition of;</w:t>
            </w:r>
          </w:p>
        </w:tc>
        <w:tc>
          <w:tcPr>
            <w:tcW w:w="598" w:type="dxa"/>
            <w:vAlign w:val="center"/>
          </w:tcPr>
          <w:p w14:paraId="73D79B68" w14:textId="77777777" w:rsidR="00E759DD" w:rsidRPr="009F2259" w:rsidRDefault="00E759DD" w:rsidP="009F2259">
            <w:pPr>
              <w:pStyle w:val="TableParagraph"/>
              <w:jc w:val="center"/>
              <w:rPr>
                <w:b/>
                <w:bCs/>
              </w:rPr>
            </w:pPr>
          </w:p>
        </w:tc>
        <w:tc>
          <w:tcPr>
            <w:tcW w:w="4009" w:type="dxa"/>
            <w:vAlign w:val="center"/>
          </w:tcPr>
          <w:p w14:paraId="73D79B6A" w14:textId="1A223775"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have a driver’s license;</w:t>
            </w:r>
          </w:p>
        </w:tc>
      </w:tr>
      <w:tr w:rsidR="00E759DD" w:rsidRPr="009F2259" w14:paraId="73D79B73" w14:textId="77777777" w:rsidTr="00846F43">
        <w:trPr>
          <w:trHeight w:val="446"/>
        </w:trPr>
        <w:tc>
          <w:tcPr>
            <w:tcW w:w="613" w:type="dxa"/>
            <w:vAlign w:val="center"/>
          </w:tcPr>
          <w:p w14:paraId="73D79B6C" w14:textId="77777777" w:rsidR="00E759DD" w:rsidRPr="009F2259" w:rsidRDefault="00E759DD" w:rsidP="009F2259">
            <w:pPr>
              <w:pStyle w:val="TableParagraph"/>
              <w:spacing w:before="8"/>
              <w:jc w:val="center"/>
              <w:rPr>
                <w:b/>
                <w:bCs/>
                <w:sz w:val="25"/>
              </w:rPr>
            </w:pPr>
          </w:p>
          <w:p w14:paraId="73D79B6D" w14:textId="1C681786" w:rsidR="00E759DD" w:rsidRPr="009F2259" w:rsidRDefault="00E759DD" w:rsidP="009F2259">
            <w:pPr>
              <w:pStyle w:val="TableParagraph"/>
              <w:ind w:left="82"/>
              <w:jc w:val="center"/>
              <w:rPr>
                <w:b/>
                <w:bCs/>
                <w:sz w:val="24"/>
              </w:rPr>
            </w:pPr>
          </w:p>
        </w:tc>
        <w:tc>
          <w:tcPr>
            <w:tcW w:w="4140" w:type="dxa"/>
            <w:vAlign w:val="center"/>
          </w:tcPr>
          <w:p w14:paraId="73D79B6F" w14:textId="323ECA4E"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determine his or her residence;</w:t>
            </w:r>
          </w:p>
        </w:tc>
        <w:tc>
          <w:tcPr>
            <w:tcW w:w="598" w:type="dxa"/>
            <w:vAlign w:val="center"/>
          </w:tcPr>
          <w:p w14:paraId="73D79B70" w14:textId="77777777" w:rsidR="00E759DD" w:rsidRPr="009F2259" w:rsidRDefault="00E759DD" w:rsidP="009F2259">
            <w:pPr>
              <w:pStyle w:val="TableParagraph"/>
              <w:jc w:val="center"/>
              <w:rPr>
                <w:b/>
                <w:bCs/>
              </w:rPr>
            </w:pPr>
          </w:p>
        </w:tc>
        <w:tc>
          <w:tcPr>
            <w:tcW w:w="4009" w:type="dxa"/>
            <w:vAlign w:val="center"/>
          </w:tcPr>
          <w:p w14:paraId="73D79B72" w14:textId="2DE3E057" w:rsidR="00E759DD" w:rsidRPr="009F2259" w:rsidRDefault="00601758" w:rsidP="00601758">
            <w:pPr>
              <w:pStyle w:val="TableParagraph"/>
              <w:rPr>
                <w:b/>
                <w:bCs/>
                <w:sz w:val="24"/>
              </w:rPr>
            </w:pPr>
            <w:r w:rsidRPr="009F2259">
              <w:rPr>
                <w:b/>
                <w:bCs/>
                <w:sz w:val="24"/>
              </w:rPr>
              <w:t xml:space="preserve"> </w:t>
            </w:r>
            <w:r w:rsidR="001D74B7" w:rsidRPr="009F2259">
              <w:rPr>
                <w:b/>
                <w:bCs/>
                <w:sz w:val="24"/>
              </w:rPr>
              <w:t>to seek and retain employment;</w:t>
            </w:r>
          </w:p>
        </w:tc>
      </w:tr>
      <w:tr w:rsidR="00A370BB" w:rsidRPr="009F2259" w14:paraId="4156ED1C" w14:textId="77777777" w:rsidTr="00846F43">
        <w:trPr>
          <w:trHeight w:val="446"/>
        </w:trPr>
        <w:tc>
          <w:tcPr>
            <w:tcW w:w="613" w:type="dxa"/>
            <w:vAlign w:val="center"/>
          </w:tcPr>
          <w:p w14:paraId="0FBD4E86" w14:textId="77777777" w:rsidR="00A370BB" w:rsidRPr="009F2259" w:rsidRDefault="00A370BB" w:rsidP="009F2259">
            <w:pPr>
              <w:pStyle w:val="TableParagraph"/>
              <w:spacing w:before="8"/>
              <w:jc w:val="center"/>
              <w:rPr>
                <w:b/>
                <w:bCs/>
                <w:sz w:val="25"/>
              </w:rPr>
            </w:pPr>
          </w:p>
        </w:tc>
        <w:tc>
          <w:tcPr>
            <w:tcW w:w="4140" w:type="dxa"/>
            <w:vAlign w:val="center"/>
          </w:tcPr>
          <w:p w14:paraId="6C7A1C34" w14:textId="74A6DDDD" w:rsidR="00A370BB" w:rsidRPr="009F2259" w:rsidRDefault="00D127C0" w:rsidP="00601758">
            <w:pPr>
              <w:pStyle w:val="TableParagraph"/>
              <w:rPr>
                <w:b/>
                <w:bCs/>
                <w:sz w:val="24"/>
              </w:rPr>
            </w:pPr>
            <w:r w:rsidRPr="009F2259">
              <w:rPr>
                <w:b/>
                <w:bCs/>
                <w:sz w:val="24"/>
              </w:rPr>
              <w:t xml:space="preserve"> t</w:t>
            </w:r>
            <w:r w:rsidR="00A370BB" w:rsidRPr="009F2259">
              <w:rPr>
                <w:b/>
                <w:bCs/>
                <w:sz w:val="24"/>
              </w:rPr>
              <w:t>o consent to medical and mental health treatment;</w:t>
            </w:r>
          </w:p>
        </w:tc>
        <w:tc>
          <w:tcPr>
            <w:tcW w:w="598" w:type="dxa"/>
            <w:vAlign w:val="center"/>
          </w:tcPr>
          <w:p w14:paraId="2398F991" w14:textId="77777777" w:rsidR="00A370BB" w:rsidRPr="009F2259" w:rsidRDefault="00A370BB" w:rsidP="009F2259">
            <w:pPr>
              <w:pStyle w:val="TableParagraph"/>
              <w:jc w:val="center"/>
              <w:rPr>
                <w:b/>
                <w:bCs/>
              </w:rPr>
            </w:pPr>
          </w:p>
        </w:tc>
        <w:tc>
          <w:tcPr>
            <w:tcW w:w="4009" w:type="dxa"/>
            <w:vAlign w:val="center"/>
          </w:tcPr>
          <w:p w14:paraId="3EAB0120" w14:textId="1FD368D0" w:rsidR="00A370BB" w:rsidRPr="009F2259" w:rsidRDefault="00D127C0" w:rsidP="00601758">
            <w:pPr>
              <w:pStyle w:val="TableParagraph"/>
              <w:rPr>
                <w:b/>
                <w:bCs/>
                <w:sz w:val="24"/>
              </w:rPr>
            </w:pPr>
            <w:r w:rsidRPr="009F2259">
              <w:rPr>
                <w:b/>
                <w:bCs/>
                <w:sz w:val="24"/>
              </w:rPr>
              <w:t xml:space="preserve"> t</w:t>
            </w:r>
            <w:r w:rsidR="00A370BB" w:rsidRPr="009F2259">
              <w:rPr>
                <w:b/>
                <w:bCs/>
                <w:sz w:val="24"/>
              </w:rPr>
              <w:t>o possess a weapon or firearm or have a license to carry a firearm;</w:t>
            </w:r>
          </w:p>
        </w:tc>
      </w:tr>
      <w:tr w:rsidR="00A370BB" w:rsidRPr="009F2259" w14:paraId="46BB8D4A" w14:textId="77777777" w:rsidTr="00846F43">
        <w:trPr>
          <w:trHeight w:val="446"/>
        </w:trPr>
        <w:tc>
          <w:tcPr>
            <w:tcW w:w="613" w:type="dxa"/>
            <w:vAlign w:val="center"/>
          </w:tcPr>
          <w:p w14:paraId="0AC224D7" w14:textId="77777777" w:rsidR="00A370BB" w:rsidRPr="009F2259" w:rsidRDefault="00A370BB" w:rsidP="009F2259">
            <w:pPr>
              <w:pStyle w:val="TableParagraph"/>
              <w:spacing w:before="8"/>
              <w:jc w:val="center"/>
              <w:rPr>
                <w:b/>
                <w:bCs/>
                <w:sz w:val="25"/>
              </w:rPr>
            </w:pPr>
          </w:p>
        </w:tc>
        <w:tc>
          <w:tcPr>
            <w:tcW w:w="8747" w:type="dxa"/>
            <w:gridSpan w:val="3"/>
            <w:vAlign w:val="center"/>
          </w:tcPr>
          <w:p w14:paraId="14CAE4E3" w14:textId="7E9AD6EA" w:rsidR="00A370BB" w:rsidRPr="009F2259" w:rsidRDefault="00D127C0" w:rsidP="00601758">
            <w:pPr>
              <w:pStyle w:val="TableParagraph"/>
              <w:rPr>
                <w:b/>
                <w:bCs/>
                <w:sz w:val="24"/>
              </w:rPr>
            </w:pPr>
            <w:r w:rsidRPr="009F2259">
              <w:rPr>
                <w:b/>
                <w:bCs/>
                <w:sz w:val="24"/>
              </w:rPr>
              <w:t xml:space="preserve"> t</w:t>
            </w:r>
            <w:r w:rsidR="00A370BB" w:rsidRPr="009F2259">
              <w:rPr>
                <w:b/>
                <w:bCs/>
                <w:sz w:val="24"/>
              </w:rPr>
              <w:t>o make decisions about his or her own social environment or other social aspect of their life.</w:t>
            </w:r>
          </w:p>
        </w:tc>
      </w:tr>
      <w:tr w:rsidR="00A370BB" w:rsidRPr="009F2259" w14:paraId="768ABB21" w14:textId="77777777" w:rsidTr="00B84178">
        <w:trPr>
          <w:trHeight w:val="446"/>
        </w:trPr>
        <w:tc>
          <w:tcPr>
            <w:tcW w:w="9360" w:type="dxa"/>
            <w:gridSpan w:val="4"/>
            <w:vAlign w:val="center"/>
          </w:tcPr>
          <w:p w14:paraId="42DB6A53" w14:textId="51A95D27" w:rsidR="00A370BB" w:rsidRPr="009F2259" w:rsidRDefault="00A370BB" w:rsidP="00601758">
            <w:pPr>
              <w:pStyle w:val="TableParagraph"/>
              <w:rPr>
                <w:sz w:val="24"/>
              </w:rPr>
            </w:pPr>
            <w:r w:rsidRPr="009F2259">
              <w:rPr>
                <w:sz w:val="24"/>
              </w:rPr>
              <w:t>*Place an ‘X’ in all matters that apply</w:t>
            </w:r>
          </w:p>
        </w:tc>
      </w:tr>
    </w:tbl>
    <w:p w14:paraId="73D79B89" w14:textId="77777777" w:rsidR="00E759DD" w:rsidRDefault="00E759DD">
      <w:pPr>
        <w:pStyle w:val="BodyText"/>
        <w:spacing w:before="3"/>
        <w:rPr>
          <w:sz w:val="16"/>
        </w:rPr>
      </w:pPr>
    </w:p>
    <w:p w14:paraId="73D79B8D" w14:textId="7BA28293" w:rsidR="00E759DD" w:rsidRPr="0035551C" w:rsidRDefault="001D74B7" w:rsidP="0035551C">
      <w:pPr>
        <w:pStyle w:val="ListParagraph"/>
        <w:numPr>
          <w:ilvl w:val="0"/>
          <w:numId w:val="1"/>
        </w:numPr>
        <w:tabs>
          <w:tab w:val="left" w:pos="700"/>
        </w:tabs>
        <w:spacing w:before="11"/>
        <w:ind w:right="893"/>
        <w:jc w:val="left"/>
        <w:rPr>
          <w:sz w:val="17"/>
        </w:rPr>
      </w:pPr>
      <w:r>
        <w:rPr>
          <w:sz w:val="24"/>
        </w:rPr>
        <w:t>Having considered alternative to guardianship, this court finds that no less restrictive alternative guardianship exists that sufficiently addresses the Ward’s needs.</w:t>
      </w:r>
    </w:p>
    <w:p w14:paraId="73D79B91" w14:textId="5CF1C4AF" w:rsidR="00E759DD" w:rsidRPr="0035551C" w:rsidRDefault="001D74B7" w:rsidP="0035551C">
      <w:pPr>
        <w:pStyle w:val="ListParagraph"/>
        <w:numPr>
          <w:ilvl w:val="0"/>
          <w:numId w:val="1"/>
        </w:numPr>
        <w:tabs>
          <w:tab w:val="left" w:pos="700"/>
        </w:tabs>
        <w:spacing w:before="89"/>
        <w:ind w:right="294"/>
        <w:jc w:val="left"/>
        <w:rPr>
          <w:sz w:val="18"/>
        </w:rPr>
      </w:pPr>
      <w:r>
        <w:rPr>
          <w:sz w:val="24"/>
        </w:rPr>
        <w:t xml:space="preserve">The Court finds no evidence that the Ward, prior to incapacity, executed any valid </w:t>
      </w:r>
      <w:r w:rsidRPr="0035551C">
        <w:rPr>
          <w:spacing w:val="-3"/>
          <w:sz w:val="24"/>
        </w:rPr>
        <w:t xml:space="preserve">advance </w:t>
      </w:r>
      <w:r>
        <w:rPr>
          <w:sz w:val="24"/>
        </w:rPr>
        <w:t>directive pursuant to Chapter 765, F.S. If any such directive is discovered, the Guardian shall file the directive and notify the Court within three (3) days.</w:t>
      </w:r>
    </w:p>
    <w:p w14:paraId="73D79B95" w14:textId="7239B132" w:rsidR="00E759DD" w:rsidRPr="0035551C" w:rsidRDefault="001D74B7" w:rsidP="0035551C">
      <w:pPr>
        <w:pStyle w:val="ListParagraph"/>
        <w:numPr>
          <w:ilvl w:val="0"/>
          <w:numId w:val="1"/>
        </w:numPr>
        <w:tabs>
          <w:tab w:val="left" w:pos="700"/>
        </w:tabs>
        <w:spacing w:before="10"/>
        <w:ind w:right="266"/>
        <w:jc w:val="left"/>
        <w:rPr>
          <w:sz w:val="17"/>
        </w:rPr>
      </w:pPr>
      <w:r>
        <w:rPr>
          <w:sz w:val="24"/>
        </w:rPr>
        <w:t xml:space="preserve">Appointment of a limited guardian of the person and property is consistent with the </w:t>
      </w:r>
      <w:r w:rsidRPr="0035551C">
        <w:rPr>
          <w:spacing w:val="-3"/>
          <w:sz w:val="24"/>
        </w:rPr>
        <w:t xml:space="preserve">Ward’s </w:t>
      </w:r>
      <w:r>
        <w:rPr>
          <w:sz w:val="24"/>
        </w:rPr>
        <w:t xml:space="preserve">welfare and safety, is the least restrictive alternative, and reserves to the Ward the right to </w:t>
      </w:r>
      <w:r>
        <w:rPr>
          <w:sz w:val="24"/>
        </w:rPr>
        <w:lastRenderedPageBreak/>
        <w:t>make decisions in all matters commensurate with the Ward’s ability to</w:t>
      </w:r>
      <w:r>
        <w:rPr>
          <w:sz w:val="24"/>
        </w:rPr>
        <w:t xml:space="preserve"> do so.</w:t>
      </w:r>
    </w:p>
    <w:p w14:paraId="73D79B96" w14:textId="77777777" w:rsidR="00E759DD" w:rsidRDefault="001D74B7">
      <w:pPr>
        <w:pStyle w:val="ListParagraph"/>
        <w:numPr>
          <w:ilvl w:val="0"/>
          <w:numId w:val="1"/>
        </w:numPr>
        <w:tabs>
          <w:tab w:val="left" w:pos="700"/>
        </w:tabs>
        <w:spacing w:line="448" w:lineRule="auto"/>
        <w:ind w:left="100" w:right="4018" w:firstLine="360"/>
        <w:jc w:val="left"/>
        <w:rPr>
          <w:sz w:val="24"/>
        </w:rPr>
      </w:pPr>
      <w:r>
        <w:rPr>
          <w:sz w:val="24"/>
        </w:rPr>
        <w:t>T</w:t>
      </w:r>
      <w:r>
        <w:rPr>
          <w:sz w:val="24"/>
        </w:rPr>
        <w:t xml:space="preserve">he having jurisdiction and being fully advised, it </w:t>
      </w:r>
      <w:r>
        <w:rPr>
          <w:spacing w:val="-9"/>
          <w:sz w:val="24"/>
        </w:rPr>
        <w:t xml:space="preserve">is </w:t>
      </w:r>
      <w:r>
        <w:rPr>
          <w:sz w:val="24"/>
        </w:rPr>
        <w:t>ORDERED and ADJUDGED as follows:</w:t>
      </w:r>
    </w:p>
    <w:p w14:paraId="73D79B9A" w14:textId="502D4341" w:rsidR="00E759DD" w:rsidRPr="00EA7253" w:rsidRDefault="001D74B7" w:rsidP="00EA7253">
      <w:pPr>
        <w:pStyle w:val="ListParagraph"/>
        <w:numPr>
          <w:ilvl w:val="0"/>
          <w:numId w:val="1"/>
        </w:numPr>
        <w:tabs>
          <w:tab w:val="left" w:pos="700"/>
          <w:tab w:val="left" w:pos="3766"/>
          <w:tab w:val="left" w:pos="6560"/>
          <w:tab w:val="left" w:pos="8191"/>
        </w:tabs>
        <w:spacing w:before="11"/>
        <w:ind w:right="659"/>
        <w:jc w:val="left"/>
        <w:rPr>
          <w:sz w:val="17"/>
        </w:rPr>
      </w:pPr>
      <w:r>
        <w:rPr>
          <w:sz w:val="24"/>
        </w:rPr>
        <w:t xml:space="preserve">The Court finds </w:t>
      </w:r>
      <w:r w:rsidR="00EA7253">
        <w:rPr>
          <w:sz w:val="24"/>
        </w:rPr>
        <w:t xml:space="preserve">that </w:t>
      </w:r>
      <w:r w:rsidR="00EA7253" w:rsidRPr="00EA7BF7">
        <w:rPr>
          <w:b/>
          <w:bCs/>
          <w:u w:val="single"/>
        </w:rPr>
        <w:t>[GUARDIAN FULL NAME]</w:t>
      </w:r>
      <w:r w:rsidR="00EA7253" w:rsidRPr="00EA7253">
        <w:t xml:space="preserve"> </w:t>
      </w:r>
      <w:r>
        <w:rPr>
          <w:sz w:val="24"/>
        </w:rPr>
        <w:t xml:space="preserve">is qualified to serve and </w:t>
      </w:r>
      <w:r w:rsidRPr="00EA7253">
        <w:rPr>
          <w:spacing w:val="-6"/>
          <w:sz w:val="24"/>
        </w:rPr>
        <w:t xml:space="preserve">is </w:t>
      </w:r>
      <w:r>
        <w:rPr>
          <w:sz w:val="24"/>
        </w:rPr>
        <w:t xml:space="preserve">hereby appointed limited Guardian of the Person and Property </w:t>
      </w:r>
      <w:r w:rsidR="00EA7253">
        <w:rPr>
          <w:sz w:val="24"/>
        </w:rPr>
        <w:t xml:space="preserve">of </w:t>
      </w:r>
      <w:r w:rsidR="00EA7253" w:rsidRPr="00EA7BF7">
        <w:rPr>
          <w:b/>
          <w:bCs/>
          <w:u w:val="single"/>
        </w:rPr>
        <w:t>[</w:t>
      </w:r>
      <w:r w:rsidR="00EA7253" w:rsidRPr="00EA7BF7">
        <w:rPr>
          <w:b/>
          <w:bCs/>
          <w:u w:val="single"/>
        </w:rPr>
        <w:t>WARD</w:t>
      </w:r>
      <w:r w:rsidR="00EA7253" w:rsidRPr="00EA7BF7">
        <w:rPr>
          <w:b/>
          <w:bCs/>
          <w:u w:val="single"/>
        </w:rPr>
        <w:t xml:space="preserve"> FULL NAME]</w:t>
      </w:r>
      <w:r>
        <w:rPr>
          <w:sz w:val="24"/>
        </w:rPr>
        <w:t>, the Ward.</w:t>
      </w:r>
    </w:p>
    <w:p w14:paraId="73D79B9B" w14:textId="3AF15FF4" w:rsidR="00E759DD" w:rsidRDefault="001D74B7">
      <w:pPr>
        <w:pStyle w:val="ListParagraph"/>
        <w:numPr>
          <w:ilvl w:val="0"/>
          <w:numId w:val="1"/>
        </w:numPr>
        <w:tabs>
          <w:tab w:val="left" w:pos="700"/>
        </w:tabs>
        <w:ind w:right="121"/>
        <w:jc w:val="left"/>
        <w:rPr>
          <w:sz w:val="24"/>
        </w:rPr>
      </w:pPr>
      <w:r>
        <w:rPr>
          <w:sz w:val="24"/>
        </w:rPr>
        <w:t>T</w:t>
      </w:r>
      <w:r>
        <w:rPr>
          <w:sz w:val="24"/>
        </w:rPr>
        <w:t xml:space="preserve">he Guardian may excise only those delegable rights that have been removed from the </w:t>
      </w:r>
      <w:r>
        <w:rPr>
          <w:spacing w:val="-5"/>
          <w:sz w:val="24"/>
        </w:rPr>
        <w:t xml:space="preserve">Ward </w:t>
      </w:r>
      <w:r>
        <w:rPr>
          <w:sz w:val="24"/>
        </w:rPr>
        <w:t>and specifically delegated to the Limited Guardian, which are:</w:t>
      </w:r>
    </w:p>
    <w:p w14:paraId="58FAEF20" w14:textId="35F7ACA8" w:rsidR="00846F43" w:rsidRDefault="00846F43" w:rsidP="00846F43">
      <w:pPr>
        <w:tabs>
          <w:tab w:val="left" w:pos="700"/>
        </w:tabs>
        <w:ind w:right="121"/>
        <w:rPr>
          <w:sz w:val="24"/>
        </w:rPr>
      </w:pPr>
    </w:p>
    <w:tbl>
      <w:tblPr>
        <w:tblW w:w="9360"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
        <w:gridCol w:w="4140"/>
        <w:gridCol w:w="630"/>
        <w:gridCol w:w="3977"/>
      </w:tblGrid>
      <w:tr w:rsidR="00846F43" w:rsidRPr="009F2259" w14:paraId="21C2A2DB" w14:textId="77777777" w:rsidTr="009B2350">
        <w:trPr>
          <w:trHeight w:val="510"/>
        </w:trPr>
        <w:tc>
          <w:tcPr>
            <w:tcW w:w="613" w:type="dxa"/>
            <w:vAlign w:val="center"/>
          </w:tcPr>
          <w:p w14:paraId="4833B9B4" w14:textId="77777777" w:rsidR="00846F43" w:rsidRPr="009F2259" w:rsidRDefault="00846F43" w:rsidP="009F2259">
            <w:pPr>
              <w:pStyle w:val="TableParagraph"/>
              <w:jc w:val="center"/>
              <w:rPr>
                <w:b/>
                <w:bCs/>
              </w:rPr>
            </w:pPr>
          </w:p>
        </w:tc>
        <w:tc>
          <w:tcPr>
            <w:tcW w:w="4140" w:type="dxa"/>
          </w:tcPr>
          <w:p w14:paraId="03681067" w14:textId="515B646D" w:rsidR="00846F43" w:rsidRPr="009F2259" w:rsidRDefault="00846F43" w:rsidP="00B742E9">
            <w:pPr>
              <w:pStyle w:val="TableParagraph"/>
              <w:spacing w:before="8"/>
              <w:rPr>
                <w:b/>
                <w:bCs/>
                <w:sz w:val="25"/>
              </w:rPr>
            </w:pPr>
            <w:r w:rsidRPr="009F2259">
              <w:rPr>
                <w:b/>
                <w:bCs/>
                <w:sz w:val="24"/>
              </w:rPr>
              <w:t>to contract;</w:t>
            </w:r>
          </w:p>
        </w:tc>
        <w:tc>
          <w:tcPr>
            <w:tcW w:w="630" w:type="dxa"/>
          </w:tcPr>
          <w:p w14:paraId="4A49E302" w14:textId="77777777" w:rsidR="00846F43" w:rsidRPr="009F2259" w:rsidRDefault="00846F43" w:rsidP="009F2259">
            <w:pPr>
              <w:pStyle w:val="TableParagraph"/>
              <w:jc w:val="center"/>
              <w:rPr>
                <w:b/>
                <w:bCs/>
              </w:rPr>
            </w:pPr>
          </w:p>
        </w:tc>
        <w:tc>
          <w:tcPr>
            <w:tcW w:w="3977" w:type="dxa"/>
          </w:tcPr>
          <w:p w14:paraId="0F96A849" w14:textId="3A7A917E" w:rsidR="00846F43" w:rsidRPr="009F2259" w:rsidRDefault="00846F43" w:rsidP="00B742E9">
            <w:pPr>
              <w:pStyle w:val="TableParagraph"/>
              <w:spacing w:before="8"/>
              <w:rPr>
                <w:b/>
                <w:bCs/>
                <w:sz w:val="25"/>
              </w:rPr>
            </w:pPr>
            <w:r w:rsidRPr="009F2259">
              <w:rPr>
                <w:b/>
                <w:bCs/>
                <w:sz w:val="24"/>
              </w:rPr>
              <w:t>to determine the ward’s residence;</w:t>
            </w:r>
          </w:p>
        </w:tc>
      </w:tr>
      <w:tr w:rsidR="00846F43" w:rsidRPr="009F2259" w14:paraId="7A8E41E8" w14:textId="77777777" w:rsidTr="009B2350">
        <w:tc>
          <w:tcPr>
            <w:tcW w:w="613" w:type="dxa"/>
          </w:tcPr>
          <w:p w14:paraId="28F8A655" w14:textId="77777777" w:rsidR="00846F43" w:rsidRPr="009F2259" w:rsidRDefault="00846F43" w:rsidP="009F2259">
            <w:pPr>
              <w:pStyle w:val="TableParagraph"/>
              <w:jc w:val="center"/>
              <w:rPr>
                <w:b/>
                <w:bCs/>
              </w:rPr>
            </w:pPr>
          </w:p>
        </w:tc>
        <w:tc>
          <w:tcPr>
            <w:tcW w:w="4140" w:type="dxa"/>
            <w:vAlign w:val="center"/>
          </w:tcPr>
          <w:p w14:paraId="576EF94A" w14:textId="77777777" w:rsidR="00846F43" w:rsidRPr="009F2259" w:rsidRDefault="00846F43" w:rsidP="00846F43">
            <w:pPr>
              <w:pStyle w:val="TableParagraph"/>
              <w:ind w:right="240"/>
              <w:rPr>
                <w:b/>
                <w:bCs/>
                <w:sz w:val="24"/>
              </w:rPr>
            </w:pPr>
            <w:r w:rsidRPr="009F2259">
              <w:rPr>
                <w:b/>
                <w:bCs/>
                <w:sz w:val="24"/>
              </w:rPr>
              <w:t>to manage property or to make any gifts or disposition of;</w:t>
            </w:r>
          </w:p>
        </w:tc>
        <w:tc>
          <w:tcPr>
            <w:tcW w:w="630" w:type="dxa"/>
          </w:tcPr>
          <w:p w14:paraId="575E7DFF" w14:textId="77777777" w:rsidR="00846F43" w:rsidRPr="009F2259" w:rsidRDefault="00846F43" w:rsidP="009F2259">
            <w:pPr>
              <w:pStyle w:val="TableParagraph"/>
              <w:jc w:val="center"/>
              <w:rPr>
                <w:b/>
                <w:bCs/>
              </w:rPr>
            </w:pPr>
          </w:p>
        </w:tc>
        <w:tc>
          <w:tcPr>
            <w:tcW w:w="3977" w:type="dxa"/>
          </w:tcPr>
          <w:p w14:paraId="333104B4" w14:textId="77777777" w:rsidR="00846F43" w:rsidRPr="009F2259" w:rsidRDefault="00846F43" w:rsidP="00846F43">
            <w:pPr>
              <w:pStyle w:val="TableParagraph"/>
              <w:ind w:right="853"/>
              <w:rPr>
                <w:b/>
                <w:bCs/>
                <w:sz w:val="24"/>
              </w:rPr>
            </w:pPr>
            <w:r w:rsidRPr="009F2259">
              <w:rPr>
                <w:b/>
                <w:bCs/>
                <w:sz w:val="24"/>
              </w:rPr>
              <w:t>To consent to medical and mental health treatment;</w:t>
            </w:r>
          </w:p>
        </w:tc>
      </w:tr>
      <w:tr w:rsidR="00846F43" w:rsidRPr="009F2259" w14:paraId="456AF181" w14:textId="77777777" w:rsidTr="009B2350">
        <w:trPr>
          <w:trHeight w:val="483"/>
        </w:trPr>
        <w:tc>
          <w:tcPr>
            <w:tcW w:w="613" w:type="dxa"/>
          </w:tcPr>
          <w:p w14:paraId="3E835D4A" w14:textId="77777777" w:rsidR="00846F43" w:rsidRPr="009F2259" w:rsidRDefault="00846F43" w:rsidP="009F2259">
            <w:pPr>
              <w:pStyle w:val="TableParagraph"/>
              <w:jc w:val="center"/>
              <w:rPr>
                <w:b/>
                <w:bCs/>
              </w:rPr>
            </w:pPr>
          </w:p>
        </w:tc>
        <w:tc>
          <w:tcPr>
            <w:tcW w:w="4140" w:type="dxa"/>
          </w:tcPr>
          <w:p w14:paraId="72145939" w14:textId="77777777" w:rsidR="00846F43" w:rsidRPr="009F2259" w:rsidRDefault="00846F43" w:rsidP="00846F43">
            <w:pPr>
              <w:pStyle w:val="TableParagraph"/>
              <w:rPr>
                <w:b/>
                <w:bCs/>
                <w:sz w:val="24"/>
              </w:rPr>
            </w:pPr>
            <w:r w:rsidRPr="009F2259">
              <w:rPr>
                <w:b/>
                <w:bCs/>
                <w:sz w:val="24"/>
              </w:rPr>
              <w:t>to sue and defend lawsuits;</w:t>
            </w:r>
          </w:p>
        </w:tc>
        <w:tc>
          <w:tcPr>
            <w:tcW w:w="630" w:type="dxa"/>
          </w:tcPr>
          <w:p w14:paraId="11AFE190" w14:textId="77777777" w:rsidR="00846F43" w:rsidRPr="009F2259" w:rsidRDefault="00846F43" w:rsidP="009F2259">
            <w:pPr>
              <w:pStyle w:val="TableParagraph"/>
              <w:jc w:val="center"/>
              <w:rPr>
                <w:b/>
                <w:bCs/>
              </w:rPr>
            </w:pPr>
          </w:p>
        </w:tc>
        <w:tc>
          <w:tcPr>
            <w:tcW w:w="3977" w:type="dxa"/>
            <w:vAlign w:val="center"/>
          </w:tcPr>
          <w:p w14:paraId="27215948" w14:textId="77777777" w:rsidR="00846F43" w:rsidRPr="009F2259" w:rsidRDefault="00846F43" w:rsidP="00846F43">
            <w:pPr>
              <w:pStyle w:val="TableParagraph"/>
              <w:ind w:right="234"/>
              <w:rPr>
                <w:b/>
                <w:bCs/>
                <w:sz w:val="24"/>
              </w:rPr>
            </w:pPr>
            <w:r w:rsidRPr="009F2259">
              <w:rPr>
                <w:b/>
                <w:bCs/>
                <w:sz w:val="24"/>
              </w:rPr>
              <w:t>To Make decisions about the ward’s social environment or other social aspect of their life;</w:t>
            </w:r>
          </w:p>
        </w:tc>
      </w:tr>
      <w:tr w:rsidR="00846F43" w:rsidRPr="009F2259" w14:paraId="47640EFB" w14:textId="77777777" w:rsidTr="00846F43">
        <w:trPr>
          <w:trHeight w:val="330"/>
        </w:trPr>
        <w:tc>
          <w:tcPr>
            <w:tcW w:w="613" w:type="dxa"/>
          </w:tcPr>
          <w:p w14:paraId="32BFAD3E" w14:textId="77777777" w:rsidR="00846F43" w:rsidRPr="009F2259" w:rsidRDefault="00846F43" w:rsidP="009F2259">
            <w:pPr>
              <w:pStyle w:val="TableParagraph"/>
              <w:jc w:val="center"/>
              <w:rPr>
                <w:b/>
                <w:bCs/>
              </w:rPr>
            </w:pPr>
          </w:p>
        </w:tc>
        <w:tc>
          <w:tcPr>
            <w:tcW w:w="8747" w:type="dxa"/>
            <w:gridSpan w:val="3"/>
          </w:tcPr>
          <w:p w14:paraId="2828FC4E" w14:textId="77777777" w:rsidR="00846F43" w:rsidRPr="009F2259" w:rsidRDefault="00846F43" w:rsidP="00846F43">
            <w:pPr>
              <w:pStyle w:val="TableParagraph"/>
              <w:rPr>
                <w:b/>
                <w:bCs/>
                <w:sz w:val="24"/>
              </w:rPr>
            </w:pPr>
            <w:r w:rsidRPr="009F2259">
              <w:rPr>
                <w:b/>
                <w:bCs/>
                <w:sz w:val="24"/>
              </w:rPr>
              <w:t>to apply for government benefits.</w:t>
            </w:r>
          </w:p>
        </w:tc>
      </w:tr>
      <w:tr w:rsidR="00846F43" w:rsidRPr="009F2259" w14:paraId="4E8A71A5" w14:textId="77777777" w:rsidTr="009B2350">
        <w:trPr>
          <w:trHeight w:val="483"/>
        </w:trPr>
        <w:tc>
          <w:tcPr>
            <w:tcW w:w="9360" w:type="dxa"/>
            <w:gridSpan w:val="4"/>
          </w:tcPr>
          <w:p w14:paraId="45C5C103" w14:textId="3996F4F2" w:rsidR="00846F43" w:rsidRPr="009F2259" w:rsidRDefault="00846F43" w:rsidP="00B742E9">
            <w:pPr>
              <w:pStyle w:val="TableParagraph"/>
            </w:pPr>
            <w:r w:rsidRPr="009F2259">
              <w:rPr>
                <w:sz w:val="24"/>
              </w:rPr>
              <w:t>*Place an ‘X’ in all matters that apply</w:t>
            </w:r>
          </w:p>
        </w:tc>
      </w:tr>
    </w:tbl>
    <w:p w14:paraId="73D79BBE" w14:textId="77777777" w:rsidR="00E759DD" w:rsidRDefault="00E759DD">
      <w:pPr>
        <w:pStyle w:val="BodyText"/>
        <w:spacing w:before="3"/>
        <w:rPr>
          <w:sz w:val="16"/>
        </w:rPr>
      </w:pPr>
    </w:p>
    <w:p w14:paraId="73D79BC2" w14:textId="1FC79B0A" w:rsidR="00E759DD" w:rsidRPr="0035551C" w:rsidRDefault="001D74B7" w:rsidP="0035551C">
      <w:pPr>
        <w:pStyle w:val="ListParagraph"/>
        <w:numPr>
          <w:ilvl w:val="0"/>
          <w:numId w:val="1"/>
        </w:numPr>
        <w:tabs>
          <w:tab w:val="left" w:pos="700"/>
        </w:tabs>
        <w:spacing w:before="11"/>
        <w:ind w:right="214"/>
        <w:jc w:val="left"/>
        <w:rPr>
          <w:sz w:val="17"/>
        </w:rPr>
      </w:pPr>
      <w:r>
        <w:rPr>
          <w:sz w:val="24"/>
        </w:rPr>
        <w:t xml:space="preserve">The Ward’s right to marry, vote, travel, personal apply for benefits, have a driver’s license, or to seek or retain employment, may not be delegated to a guardian. If the right to </w:t>
      </w:r>
      <w:r w:rsidRPr="0035551C">
        <w:rPr>
          <w:spacing w:val="-3"/>
          <w:sz w:val="24"/>
        </w:rPr>
        <w:t xml:space="preserve">contract </w:t>
      </w:r>
      <w:r>
        <w:rPr>
          <w:sz w:val="24"/>
        </w:rPr>
        <w:t>has been removed, the right to marry is subject to court approval.</w:t>
      </w:r>
    </w:p>
    <w:p w14:paraId="73D79BC6" w14:textId="0985CCEA" w:rsidR="00E759DD" w:rsidRPr="0035551C" w:rsidRDefault="001D74B7" w:rsidP="0035551C">
      <w:pPr>
        <w:pStyle w:val="ListParagraph"/>
        <w:numPr>
          <w:ilvl w:val="0"/>
          <w:numId w:val="1"/>
        </w:numPr>
        <w:tabs>
          <w:tab w:val="left" w:pos="700"/>
        </w:tabs>
        <w:spacing w:before="10"/>
        <w:ind w:right="293"/>
        <w:jc w:val="left"/>
        <w:rPr>
          <w:sz w:val="17"/>
        </w:rPr>
      </w:pPr>
      <w:r>
        <w:rPr>
          <w:sz w:val="24"/>
        </w:rPr>
        <w:t xml:space="preserve">If the Ward’s right to own or possess a weapon or firearm, or have a license to carry a firearm, have been removed pursuant to Section 790.64, F.S., the Ward shall be reported </w:t>
      </w:r>
      <w:r w:rsidRPr="0035551C">
        <w:rPr>
          <w:spacing w:val="-9"/>
          <w:sz w:val="24"/>
        </w:rPr>
        <w:t xml:space="preserve">to </w:t>
      </w:r>
      <w:r>
        <w:rPr>
          <w:sz w:val="24"/>
        </w:rPr>
        <w:t>the Florida Department of Law Enforcement (“FDLE”) Mental Competency (“MEC</w:t>
      </w:r>
      <w:r>
        <w:rPr>
          <w:sz w:val="24"/>
        </w:rPr>
        <w:t>OM”) Database pursuant to Section 790.065, F.S.</w:t>
      </w:r>
    </w:p>
    <w:p w14:paraId="73D79BCA" w14:textId="3CD1812A" w:rsidR="00E759DD" w:rsidRPr="0035551C" w:rsidRDefault="001D74B7" w:rsidP="0035551C">
      <w:pPr>
        <w:pStyle w:val="ListParagraph"/>
        <w:numPr>
          <w:ilvl w:val="0"/>
          <w:numId w:val="1"/>
        </w:numPr>
        <w:tabs>
          <w:tab w:val="left" w:pos="700"/>
          <w:tab w:val="left" w:pos="4985"/>
          <w:tab w:val="left" w:pos="6365"/>
        </w:tabs>
        <w:spacing w:before="11"/>
        <w:ind w:right="101" w:hanging="360"/>
        <w:jc w:val="left"/>
        <w:rPr>
          <w:sz w:val="17"/>
        </w:rPr>
      </w:pPr>
      <w:r>
        <w:rPr>
          <w:sz w:val="24"/>
        </w:rPr>
        <w:t xml:space="preserve">Upon taking the prescribed oath, and filing designation of resident agent and acceptance, </w:t>
      </w:r>
      <w:r w:rsidRPr="0035551C">
        <w:rPr>
          <w:spacing w:val="-6"/>
          <w:sz w:val="24"/>
        </w:rPr>
        <w:t xml:space="preserve">and </w:t>
      </w:r>
      <w:r>
        <w:rPr>
          <w:sz w:val="24"/>
        </w:rPr>
        <w:t>entering into</w:t>
      </w:r>
      <w:r>
        <w:rPr>
          <w:sz w:val="24"/>
        </w:rPr>
        <w:t xml:space="preserve"> a bond in the amount of </w:t>
      </w:r>
      <w:r w:rsidRPr="00EA7BF7">
        <w:rPr>
          <w:b/>
          <w:bCs/>
          <w:sz w:val="24"/>
        </w:rPr>
        <w:t>$</w:t>
      </w:r>
      <w:r w:rsidR="0035551C" w:rsidRPr="00EA7BF7">
        <w:rPr>
          <w:b/>
          <w:bCs/>
          <w:sz w:val="24"/>
          <w:u w:val="single"/>
        </w:rPr>
        <w:t>[AMOUNT]</w:t>
      </w:r>
      <w:r w:rsidR="0035551C" w:rsidRPr="0035551C">
        <w:rPr>
          <w:sz w:val="24"/>
        </w:rPr>
        <w:t xml:space="preserve"> </w:t>
      </w:r>
      <w:r>
        <w:rPr>
          <w:sz w:val="24"/>
        </w:rPr>
        <w:t>payable to the Governor of the State of Florida and to all successors in office, conditioned upon the faithful performance of all duties by the Guardian, Letters of Limited Guardianship shall be issued.</w:t>
      </w:r>
    </w:p>
    <w:p w14:paraId="73D79BCE" w14:textId="4C8A0D48" w:rsidR="00E759DD" w:rsidRPr="0035551C" w:rsidRDefault="001D74B7" w:rsidP="0035551C">
      <w:pPr>
        <w:pStyle w:val="ListParagraph"/>
        <w:numPr>
          <w:ilvl w:val="0"/>
          <w:numId w:val="1"/>
        </w:numPr>
        <w:tabs>
          <w:tab w:val="left" w:pos="700"/>
        </w:tabs>
        <w:spacing w:before="10"/>
        <w:ind w:right="441" w:hanging="360"/>
        <w:jc w:val="left"/>
        <w:rPr>
          <w:sz w:val="17"/>
        </w:rPr>
      </w:pPr>
      <w:r>
        <w:rPr>
          <w:sz w:val="24"/>
        </w:rPr>
        <w:t>The Guardian must place all liquid assets of the w</w:t>
      </w:r>
      <w:r>
        <w:rPr>
          <w:sz w:val="24"/>
        </w:rPr>
        <w:t>ard in a restricted account in a financial institution designated pursuant to Section 69.031, F.S., (“Depository”).</w:t>
      </w:r>
    </w:p>
    <w:p w14:paraId="73D79BCF" w14:textId="77777777" w:rsidR="00E759DD" w:rsidRDefault="001D74B7">
      <w:pPr>
        <w:pStyle w:val="ListParagraph"/>
        <w:numPr>
          <w:ilvl w:val="0"/>
          <w:numId w:val="1"/>
        </w:numPr>
        <w:tabs>
          <w:tab w:val="left" w:pos="700"/>
        </w:tabs>
        <w:ind w:right="160" w:hanging="360"/>
        <w:jc w:val="left"/>
        <w:rPr>
          <w:sz w:val="24"/>
        </w:rPr>
      </w:pPr>
      <w:r>
        <w:rPr>
          <w:sz w:val="24"/>
        </w:rPr>
        <w:t>A</w:t>
      </w:r>
      <w:r>
        <w:rPr>
          <w:sz w:val="24"/>
        </w:rPr>
        <w:t>ll monies payable to the Ward shall be paid to the Guardianship of the Ward and deposited into the Depository.</w:t>
      </w:r>
    </w:p>
    <w:p w14:paraId="73D79BD4" w14:textId="1A85A5FA" w:rsidR="00E759DD" w:rsidRPr="000F422B" w:rsidRDefault="001D74B7" w:rsidP="000F422B">
      <w:pPr>
        <w:pStyle w:val="ListParagraph"/>
        <w:numPr>
          <w:ilvl w:val="0"/>
          <w:numId w:val="1"/>
        </w:numPr>
        <w:tabs>
          <w:tab w:val="left" w:pos="700"/>
        </w:tabs>
        <w:spacing w:before="10"/>
        <w:ind w:right="680" w:hanging="360"/>
        <w:jc w:val="left"/>
        <w:rPr>
          <w:sz w:val="17"/>
        </w:rPr>
      </w:pPr>
      <w:r>
        <w:rPr>
          <w:sz w:val="24"/>
        </w:rPr>
        <w:t>There shall</w:t>
      </w:r>
      <w:r>
        <w:rPr>
          <w:sz w:val="24"/>
        </w:rPr>
        <w:t xml:space="preserve"> be no sale, encumbrance, borrowing, distribution, transfer, conversation, </w:t>
      </w:r>
      <w:r w:rsidRPr="000F422B">
        <w:rPr>
          <w:spacing w:val="-9"/>
          <w:sz w:val="24"/>
        </w:rPr>
        <w:t xml:space="preserve">or </w:t>
      </w:r>
      <w:r>
        <w:rPr>
          <w:sz w:val="24"/>
        </w:rPr>
        <w:t>gifting of any guardianship assets without a specific court order.</w:t>
      </w:r>
    </w:p>
    <w:p w14:paraId="73D79BD5" w14:textId="77777777" w:rsidR="00E759DD" w:rsidRDefault="001D74B7">
      <w:pPr>
        <w:pStyle w:val="ListParagraph"/>
        <w:numPr>
          <w:ilvl w:val="0"/>
          <w:numId w:val="1"/>
        </w:numPr>
        <w:tabs>
          <w:tab w:val="left" w:pos="700"/>
        </w:tabs>
        <w:ind w:hanging="360"/>
        <w:jc w:val="left"/>
        <w:rPr>
          <w:sz w:val="24"/>
        </w:rPr>
      </w:pPr>
      <w:r>
        <w:rPr>
          <w:sz w:val="24"/>
        </w:rPr>
        <w:t>I</w:t>
      </w:r>
      <w:r>
        <w:rPr>
          <w:sz w:val="24"/>
        </w:rPr>
        <w:t>nitial guardianship report shall be filed within 60 days.</w:t>
      </w:r>
    </w:p>
    <w:p w14:paraId="73D79BD6" w14:textId="77777777" w:rsidR="00E759DD" w:rsidRDefault="00E759DD">
      <w:pPr>
        <w:pStyle w:val="BodyText"/>
        <w:spacing w:before="10"/>
        <w:rPr>
          <w:sz w:val="20"/>
        </w:rPr>
      </w:pPr>
    </w:p>
    <w:p w14:paraId="66C022C1" w14:textId="77777777" w:rsidR="009F2259" w:rsidRDefault="009F2259" w:rsidP="00EA7BF7">
      <w:pPr>
        <w:pStyle w:val="BodyText"/>
        <w:tabs>
          <w:tab w:val="left" w:pos="9285"/>
        </w:tabs>
        <w:ind w:left="100"/>
        <w:rPr>
          <w:b/>
        </w:rPr>
      </w:pPr>
    </w:p>
    <w:p w14:paraId="73D79BDD" w14:textId="1C759ACB" w:rsidR="00E759DD" w:rsidRDefault="001D74B7" w:rsidP="00EA7BF7">
      <w:pPr>
        <w:pStyle w:val="BodyText"/>
        <w:tabs>
          <w:tab w:val="left" w:pos="9285"/>
        </w:tabs>
        <w:ind w:left="100"/>
        <w:rPr>
          <w:sz w:val="20"/>
        </w:rPr>
      </w:pPr>
      <w:r>
        <w:rPr>
          <w:b/>
        </w:rPr>
        <w:t xml:space="preserve">DONE </w:t>
      </w:r>
      <w:r>
        <w:t xml:space="preserve">and </w:t>
      </w:r>
      <w:r>
        <w:rPr>
          <w:b/>
        </w:rPr>
        <w:t xml:space="preserve">ORDERED </w:t>
      </w:r>
      <w:r>
        <w:t>in Chambers at Miami-Dade County, Florida</w:t>
      </w:r>
      <w:r>
        <w:rPr>
          <w:spacing w:val="-1"/>
        </w:rPr>
        <w:t xml:space="preserve"> </w:t>
      </w:r>
      <w:r>
        <w:t>on this</w:t>
      </w:r>
      <w:r>
        <w:rPr>
          <w:u w:val="single"/>
        </w:rPr>
        <w:t xml:space="preserve"> </w:t>
      </w:r>
      <w:r>
        <w:rPr>
          <w:u w:val="single"/>
        </w:rPr>
        <w:tab/>
      </w:r>
      <w:r>
        <w:t>.</w:t>
      </w:r>
    </w:p>
    <w:p w14:paraId="0BC8EC0C" w14:textId="77777777" w:rsidR="005C122F" w:rsidRDefault="005C122F" w:rsidP="005C122F">
      <w:pPr>
        <w:pStyle w:val="BodyText"/>
        <w:rPr>
          <w:sz w:val="20"/>
        </w:rPr>
      </w:pPr>
    </w:p>
    <w:p w14:paraId="36143B3D" w14:textId="2FEE73B2" w:rsidR="005C122F" w:rsidRDefault="001D74B7" w:rsidP="005C122F">
      <w:pPr>
        <w:pStyle w:val="BodyText"/>
        <w:spacing w:before="9"/>
        <w:rPr>
          <w:sz w:val="27"/>
        </w:rPr>
      </w:pPr>
      <w:r>
        <w:rPr>
          <w:noProof/>
          <w:sz w:val="23"/>
        </w:rPr>
        <mc:AlternateContent>
          <mc:Choice Requires="wps">
            <w:drawing>
              <wp:anchor distT="0" distB="0" distL="0" distR="0" simplePos="0" relativeHeight="251661824" behindDoc="1" locked="0" layoutInCell="1" allowOverlap="1" wp14:anchorId="7AF45E0C" wp14:editId="229B03D3">
                <wp:simplePos x="0" y="0"/>
                <wp:positionH relativeFrom="page">
                  <wp:posOffset>3791585</wp:posOffset>
                </wp:positionH>
                <wp:positionV relativeFrom="paragraph">
                  <wp:posOffset>231140</wp:posOffset>
                </wp:positionV>
                <wp:extent cx="3068320" cy="1270"/>
                <wp:effectExtent l="0" t="0" r="0" b="0"/>
                <wp:wrapTopAndBottom/>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8320" cy="1270"/>
                        </a:xfrm>
                        <a:custGeom>
                          <a:avLst/>
                          <a:gdLst>
                            <a:gd name="T0" fmla="+- 0 5971 5971"/>
                            <a:gd name="T1" fmla="*/ T0 w 4832"/>
                            <a:gd name="T2" fmla="+- 0 10802 5971"/>
                            <a:gd name="T3" fmla="*/ T2 w 4832"/>
                          </a:gdLst>
                          <a:ahLst/>
                          <a:cxnLst>
                            <a:cxn ang="0">
                              <a:pos x="T1" y="0"/>
                            </a:cxn>
                            <a:cxn ang="0">
                              <a:pos x="T3" y="0"/>
                            </a:cxn>
                          </a:cxnLst>
                          <a:rect l="0" t="0" r="r" b="b"/>
                          <a:pathLst>
                            <a:path w="4832">
                              <a:moveTo>
                                <a:pt x="0" y="0"/>
                              </a:moveTo>
                              <a:lnTo>
                                <a:pt x="4831"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FC308" id="Freeform 4" o:spid="_x0000_s1026" style="position:absolute;margin-left:298.55pt;margin-top:18.2pt;width:241.6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" path="m,l4831,e" filled="f" strokeweight=".16256mm">
                <v:path arrowok="t" o:connecttype="custom" o:connectlocs="0,0;3067685,0" o:connectangles="0,0"/>
                <w10:wrap type="topAndBottom" anchorx="page"/>
              </v:shape>
            </w:pict>
          </mc:Fallback>
        </mc:AlternateContent>
      </w:r>
    </w:p>
    <w:p w14:paraId="41315373" w14:textId="77777777" w:rsidR="005C122F" w:rsidRDefault="005C122F" w:rsidP="005C122F">
      <w:pPr>
        <w:pStyle w:val="BodyText"/>
        <w:spacing w:line="235" w:lineRule="exact"/>
        <w:ind w:left="6349"/>
      </w:pPr>
      <w:r>
        <w:t>Circuit Judge</w:t>
      </w:r>
    </w:p>
    <w:p w14:paraId="73D79BDE" w14:textId="77777777" w:rsidR="00E759DD" w:rsidRDefault="00E759DD">
      <w:pPr>
        <w:pStyle w:val="BodyText"/>
        <w:spacing w:before="3"/>
        <w:rPr>
          <w:sz w:val="22"/>
        </w:rPr>
      </w:pPr>
    </w:p>
    <w:sectPr w:rsidR="00E759DD">
      <w:footerReference w:type="default" r:id="rId7"/>
      <w:pgSz w:w="12240" w:h="15840"/>
      <w:pgMar w:top="1480" w:right="1280" w:bottom="860" w:left="1220" w:header="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9BE6" w14:textId="77777777" w:rsidR="00000000" w:rsidRDefault="001D74B7">
      <w:r>
        <w:separator/>
      </w:r>
    </w:p>
  </w:endnote>
  <w:endnote w:type="continuationSeparator" w:id="0">
    <w:p w14:paraId="73D79BE8" w14:textId="77777777" w:rsidR="00000000" w:rsidRDefault="001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9BE1" w14:textId="2A334FA7" w:rsidR="00E759DD" w:rsidRDefault="00337150" w:rsidP="00337150">
    <w:pPr>
      <w:spacing w:before="14"/>
      <w:ind w:left="20"/>
      <w:rPr>
        <w:spacing w:val="-9"/>
        <w:sz w:val="16"/>
      </w:rPr>
    </w:pPr>
    <w:r>
      <w:rPr>
        <w:spacing w:val="-8"/>
        <w:sz w:val="16"/>
      </w:rPr>
      <w:t>Order</w:t>
    </w:r>
    <w:r>
      <w:rPr>
        <w:spacing w:val="-17"/>
        <w:sz w:val="16"/>
      </w:rPr>
      <w:t xml:space="preserve"> </w:t>
    </w:r>
    <w:r>
      <w:rPr>
        <w:spacing w:val="-9"/>
        <w:sz w:val="16"/>
      </w:rPr>
      <w:t>Appointing</w:t>
    </w:r>
    <w:r>
      <w:rPr>
        <w:spacing w:val="-14"/>
        <w:sz w:val="16"/>
      </w:rPr>
      <w:t xml:space="preserve"> </w:t>
    </w:r>
    <w:r>
      <w:rPr>
        <w:spacing w:val="-9"/>
        <w:sz w:val="16"/>
      </w:rPr>
      <w:t>Limited</w:t>
    </w:r>
    <w:r>
      <w:rPr>
        <w:spacing w:val="-14"/>
        <w:sz w:val="16"/>
      </w:rPr>
      <w:t xml:space="preserve"> </w:t>
    </w:r>
    <w:r>
      <w:rPr>
        <w:spacing w:val="-9"/>
        <w:sz w:val="16"/>
      </w:rPr>
      <w:t>Guardian</w:t>
    </w:r>
    <w:r>
      <w:rPr>
        <w:spacing w:val="-16"/>
        <w:sz w:val="16"/>
      </w:rPr>
      <w:t xml:space="preserve"> </w:t>
    </w:r>
    <w:r>
      <w:rPr>
        <w:spacing w:val="-5"/>
        <w:sz w:val="16"/>
      </w:rPr>
      <w:t>of</w:t>
    </w:r>
    <w:r>
      <w:rPr>
        <w:spacing w:val="-16"/>
        <w:sz w:val="16"/>
      </w:rPr>
      <w:t xml:space="preserve"> </w:t>
    </w:r>
    <w:r>
      <w:rPr>
        <w:spacing w:val="-9"/>
        <w:sz w:val="16"/>
      </w:rPr>
      <w:t>Person</w:t>
    </w:r>
    <w:r>
      <w:rPr>
        <w:spacing w:val="-14"/>
        <w:sz w:val="16"/>
      </w:rPr>
      <w:t xml:space="preserve"> </w:t>
    </w:r>
    <w:r>
      <w:rPr>
        <w:sz w:val="16"/>
      </w:rPr>
      <w:t>&amp;</w:t>
    </w:r>
    <w:r>
      <w:rPr>
        <w:spacing w:val="-15"/>
        <w:sz w:val="16"/>
      </w:rPr>
      <w:t xml:space="preserve"> </w:t>
    </w:r>
    <w:r>
      <w:rPr>
        <w:spacing w:val="-9"/>
        <w:sz w:val="16"/>
      </w:rPr>
      <w:t>Property</w:t>
    </w:r>
    <w:r>
      <w:rPr>
        <w:spacing w:val="-14"/>
        <w:sz w:val="16"/>
      </w:rPr>
      <w:t xml:space="preserve"> </w:t>
    </w:r>
    <w:r>
      <w:rPr>
        <w:spacing w:val="-9"/>
        <w:sz w:val="16"/>
      </w:rPr>
      <w:t>(Incapacitated</w:t>
    </w:r>
    <w:r>
      <w:rPr>
        <w:spacing w:val="-14"/>
        <w:sz w:val="16"/>
      </w:rPr>
      <w:t xml:space="preserve"> </w:t>
    </w:r>
    <w:r>
      <w:rPr>
        <w:spacing w:val="-9"/>
        <w:sz w:val="16"/>
      </w:rPr>
      <w:t>Person</w:t>
    </w:r>
    <w:r>
      <w:rPr>
        <w:spacing w:val="-18"/>
        <w:sz w:val="16"/>
      </w:rPr>
      <w:t xml:space="preserve"> </w:t>
    </w:r>
    <w:r>
      <w:rPr>
        <w:sz w:val="16"/>
      </w:rPr>
      <w:t>–</w:t>
    </w:r>
    <w:r>
      <w:rPr>
        <w:spacing w:val="-14"/>
        <w:sz w:val="16"/>
      </w:rPr>
      <w:t xml:space="preserve"> </w:t>
    </w:r>
    <w:r>
      <w:rPr>
        <w:spacing w:val="-6"/>
        <w:sz w:val="16"/>
      </w:rPr>
      <w:t>No</w:t>
    </w:r>
    <w:r>
      <w:rPr>
        <w:spacing w:val="-16"/>
        <w:sz w:val="16"/>
      </w:rPr>
      <w:t xml:space="preserve"> </w:t>
    </w:r>
    <w:r>
      <w:rPr>
        <w:spacing w:val="-8"/>
        <w:sz w:val="16"/>
      </w:rPr>
      <w:t>Known</w:t>
    </w:r>
    <w:r>
      <w:rPr>
        <w:spacing w:val="-16"/>
        <w:sz w:val="16"/>
      </w:rPr>
      <w:t xml:space="preserve"> </w:t>
    </w:r>
    <w:r>
      <w:rPr>
        <w:spacing w:val="-9"/>
        <w:sz w:val="16"/>
      </w:rPr>
      <w:t>Advance</w:t>
    </w:r>
    <w:r>
      <w:rPr>
        <w:spacing w:val="-14"/>
        <w:sz w:val="16"/>
      </w:rPr>
      <w:t xml:space="preserve"> </w:t>
    </w:r>
    <w:r>
      <w:rPr>
        <w:spacing w:val="-9"/>
        <w:sz w:val="16"/>
      </w:rPr>
      <w:t>Directive)</w:t>
    </w:r>
    <w:r>
      <w:rPr>
        <w:spacing w:val="-17"/>
        <w:sz w:val="16"/>
      </w:rPr>
      <w:t xml:space="preserve"> </w:t>
    </w:r>
    <w:r>
      <w:rPr>
        <w:spacing w:val="-9"/>
        <w:sz w:val="16"/>
      </w:rPr>
      <w:t>(ODLI)</w:t>
    </w:r>
  </w:p>
  <w:p w14:paraId="0D838473" w14:textId="7704C6A7" w:rsidR="00337150" w:rsidRPr="00337150" w:rsidRDefault="00337150" w:rsidP="00337150">
    <w:pPr>
      <w:spacing w:before="14"/>
      <w:ind w:left="20"/>
      <w:rPr>
        <w:sz w:val="16"/>
      </w:rPr>
    </w:pPr>
    <w:r>
      <w:rPr>
        <w:spacing w:val="-9"/>
        <w:sz w:val="16"/>
      </w:rPr>
      <w:t xml:space="preserve">Last Revised </w:t>
    </w:r>
    <w:r w:rsidR="00913D23">
      <w:rPr>
        <w:spacing w:val="-9"/>
        <w:sz w:val="16"/>
      </w:rPr>
      <w:t>6/3/2022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9BE2" w14:textId="77777777" w:rsidR="00000000" w:rsidRDefault="001D74B7">
      <w:r>
        <w:separator/>
      </w:r>
    </w:p>
  </w:footnote>
  <w:footnote w:type="continuationSeparator" w:id="0">
    <w:p w14:paraId="73D79BE4" w14:textId="77777777" w:rsidR="00000000" w:rsidRDefault="001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B0799"/>
    <w:multiLevelType w:val="hybridMultilevel"/>
    <w:tmpl w:val="3D929CD4"/>
    <w:lvl w:ilvl="0" w:tplc="EEEEA642">
      <w:start w:val="1"/>
      <w:numFmt w:val="decimal"/>
      <w:lvlText w:val="%1."/>
      <w:lvlJc w:val="left"/>
      <w:pPr>
        <w:ind w:left="700" w:hanging="240"/>
        <w:jc w:val="right"/>
      </w:pPr>
      <w:rPr>
        <w:rFonts w:ascii="Times New Roman" w:eastAsia="Times New Roman" w:hAnsi="Times New Roman" w:cs="Times New Roman" w:hint="default"/>
        <w:spacing w:val="-6"/>
        <w:w w:val="100"/>
        <w:sz w:val="24"/>
        <w:szCs w:val="24"/>
      </w:rPr>
    </w:lvl>
    <w:lvl w:ilvl="1" w:tplc="CF56B8AA">
      <w:numFmt w:val="bullet"/>
      <w:lvlText w:val="•"/>
      <w:lvlJc w:val="left"/>
      <w:pPr>
        <w:ind w:left="1604" w:hanging="240"/>
      </w:pPr>
      <w:rPr>
        <w:rFonts w:hint="default"/>
      </w:rPr>
    </w:lvl>
    <w:lvl w:ilvl="2" w:tplc="E39A4738">
      <w:numFmt w:val="bullet"/>
      <w:lvlText w:val="•"/>
      <w:lvlJc w:val="left"/>
      <w:pPr>
        <w:ind w:left="2508" w:hanging="240"/>
      </w:pPr>
      <w:rPr>
        <w:rFonts w:hint="default"/>
      </w:rPr>
    </w:lvl>
    <w:lvl w:ilvl="3" w:tplc="8A627420">
      <w:numFmt w:val="bullet"/>
      <w:lvlText w:val="•"/>
      <w:lvlJc w:val="left"/>
      <w:pPr>
        <w:ind w:left="3412" w:hanging="240"/>
      </w:pPr>
      <w:rPr>
        <w:rFonts w:hint="default"/>
      </w:rPr>
    </w:lvl>
    <w:lvl w:ilvl="4" w:tplc="58F88F96">
      <w:numFmt w:val="bullet"/>
      <w:lvlText w:val="•"/>
      <w:lvlJc w:val="left"/>
      <w:pPr>
        <w:ind w:left="4316" w:hanging="240"/>
      </w:pPr>
      <w:rPr>
        <w:rFonts w:hint="default"/>
      </w:rPr>
    </w:lvl>
    <w:lvl w:ilvl="5" w:tplc="085C074E">
      <w:numFmt w:val="bullet"/>
      <w:lvlText w:val="•"/>
      <w:lvlJc w:val="left"/>
      <w:pPr>
        <w:ind w:left="5220" w:hanging="240"/>
      </w:pPr>
      <w:rPr>
        <w:rFonts w:hint="default"/>
      </w:rPr>
    </w:lvl>
    <w:lvl w:ilvl="6" w:tplc="98940F94">
      <w:numFmt w:val="bullet"/>
      <w:lvlText w:val="•"/>
      <w:lvlJc w:val="left"/>
      <w:pPr>
        <w:ind w:left="6124" w:hanging="240"/>
      </w:pPr>
      <w:rPr>
        <w:rFonts w:hint="default"/>
      </w:rPr>
    </w:lvl>
    <w:lvl w:ilvl="7" w:tplc="255E0A60">
      <w:numFmt w:val="bullet"/>
      <w:lvlText w:val="•"/>
      <w:lvlJc w:val="left"/>
      <w:pPr>
        <w:ind w:left="7028" w:hanging="240"/>
      </w:pPr>
      <w:rPr>
        <w:rFonts w:hint="default"/>
      </w:rPr>
    </w:lvl>
    <w:lvl w:ilvl="8" w:tplc="40E05A48">
      <w:numFmt w:val="bullet"/>
      <w:lvlText w:val="•"/>
      <w:lvlJc w:val="left"/>
      <w:pPr>
        <w:ind w:left="7932" w:hanging="240"/>
      </w:pPr>
      <w:rPr>
        <w:rFonts w:hint="default"/>
      </w:rPr>
    </w:lvl>
  </w:abstractNum>
  <w:num w:numId="1" w16cid:durableId="5643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DD"/>
    <w:rsid w:val="000F422B"/>
    <w:rsid w:val="0016155B"/>
    <w:rsid w:val="001D74B7"/>
    <w:rsid w:val="00265679"/>
    <w:rsid w:val="00337150"/>
    <w:rsid w:val="0035551C"/>
    <w:rsid w:val="0040201D"/>
    <w:rsid w:val="005C122F"/>
    <w:rsid w:val="00601758"/>
    <w:rsid w:val="0069345D"/>
    <w:rsid w:val="00846F43"/>
    <w:rsid w:val="00863E4E"/>
    <w:rsid w:val="00913D23"/>
    <w:rsid w:val="009B2350"/>
    <w:rsid w:val="009F2259"/>
    <w:rsid w:val="00A370BB"/>
    <w:rsid w:val="00A85B9B"/>
    <w:rsid w:val="00AC1E4F"/>
    <w:rsid w:val="00D127C0"/>
    <w:rsid w:val="00E1265F"/>
    <w:rsid w:val="00E759DD"/>
    <w:rsid w:val="00EA7253"/>
    <w:rsid w:val="00EA7BF7"/>
    <w:rsid w:val="00F53440"/>
    <w:rsid w:val="00FA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3D79B3E"/>
  <w15:docId w15:val="{6C309825-DBEC-41D9-A34C-9A2398D0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70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5B9B"/>
    <w:pPr>
      <w:tabs>
        <w:tab w:val="center" w:pos="4680"/>
        <w:tab w:val="right" w:pos="9360"/>
      </w:tabs>
    </w:pPr>
  </w:style>
  <w:style w:type="character" w:customStyle="1" w:styleId="HeaderChar">
    <w:name w:val="Header Char"/>
    <w:basedOn w:val="DefaultParagraphFont"/>
    <w:link w:val="Header"/>
    <w:uiPriority w:val="99"/>
    <w:rsid w:val="00A85B9B"/>
    <w:rPr>
      <w:rFonts w:ascii="Times New Roman" w:eastAsia="Times New Roman" w:hAnsi="Times New Roman" w:cs="Times New Roman"/>
    </w:rPr>
  </w:style>
  <w:style w:type="paragraph" w:styleId="Footer">
    <w:name w:val="footer"/>
    <w:basedOn w:val="Normal"/>
    <w:link w:val="FooterChar"/>
    <w:uiPriority w:val="99"/>
    <w:unhideWhenUsed/>
    <w:rsid w:val="00A85B9B"/>
    <w:pPr>
      <w:tabs>
        <w:tab w:val="center" w:pos="4680"/>
        <w:tab w:val="right" w:pos="9360"/>
      </w:tabs>
    </w:pPr>
  </w:style>
  <w:style w:type="character" w:customStyle="1" w:styleId="FooterChar">
    <w:name w:val="Footer Char"/>
    <w:basedOn w:val="DefaultParagraphFont"/>
    <w:link w:val="Footer"/>
    <w:uiPriority w:val="99"/>
    <w:rsid w:val="00A85B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Document - 2018-000123-CA-01</dc:title>
  <dc:creator>Gutierrez, Michel</dc:creator>
  <cp:lastModifiedBy>Gutierrez, Michel</cp:lastModifiedBy>
  <cp:revision>2</cp:revision>
  <dcterms:created xsi:type="dcterms:W3CDTF">2022-06-03T15:39:00Z</dcterms:created>
  <dcterms:modified xsi:type="dcterms:W3CDTF">2022-06-03T15:39:00Z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LastSaved">
    <vt:filetime>2022-06-03T00:00:00Z</vt:filetime>
  </property>
</Properties>
</file>